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6F13" w14:textId="77777777" w:rsidR="00497811" w:rsidRPr="004358C8" w:rsidRDefault="00497811" w:rsidP="00B36E56">
      <w:pPr>
        <w:pStyle w:val="Intestazione"/>
        <w:rPr>
          <w:rFonts w:ascii="Arial" w:hAnsi="Arial" w:cs="Arial"/>
          <w:b/>
          <w:bCs/>
          <w:sz w:val="24"/>
          <w:szCs w:val="24"/>
        </w:rPr>
      </w:pPr>
    </w:p>
    <w:p w14:paraId="057BCC78" w14:textId="45CC0C6E" w:rsidR="001C38DE" w:rsidRPr="004358C8" w:rsidRDefault="00691922" w:rsidP="004A3BD8">
      <w:pPr>
        <w:pBdr>
          <w:top w:val="nil"/>
          <w:left w:val="nil"/>
          <w:bottom w:val="nil"/>
          <w:right w:val="nil"/>
          <w:between w:val="nil"/>
        </w:pBdr>
        <w:spacing w:line="240" w:lineRule="auto"/>
        <w:jc w:val="both"/>
        <w:rPr>
          <w:rFonts w:ascii="Arial" w:hAnsi="Arial" w:cs="Arial"/>
          <w:b/>
          <w:bCs/>
          <w:sz w:val="24"/>
          <w:szCs w:val="24"/>
        </w:rPr>
      </w:pPr>
      <w:r w:rsidRPr="004358C8">
        <w:rPr>
          <w:rFonts w:ascii="Arial" w:hAnsi="Arial" w:cs="Arial"/>
          <w:b/>
          <w:bCs/>
          <w:color w:val="000000" w:themeColor="text1"/>
          <w:sz w:val="24"/>
          <w:szCs w:val="24"/>
        </w:rPr>
        <w:t xml:space="preserve">SINTESI DEL WORKING PAPER: </w:t>
      </w:r>
      <w:r w:rsidRPr="004358C8">
        <w:rPr>
          <w:rFonts w:ascii="Arial" w:hAnsi="Arial" w:cs="Arial"/>
          <w:b/>
          <w:sz w:val="24"/>
          <w:szCs w:val="24"/>
        </w:rPr>
        <w:t xml:space="preserve">“MODELLI PER PROMUOVERE LE COMUNITÀ ENERGETICHE: UN’OPPORTUNITÀ PER LE UTILITIES” </w:t>
      </w:r>
      <w:r w:rsidRPr="004358C8">
        <w:rPr>
          <w:rFonts w:ascii="Arial" w:hAnsi="Arial" w:cs="Arial"/>
          <w:b/>
          <w:bCs/>
          <w:sz w:val="24"/>
          <w:szCs w:val="24"/>
        </w:rPr>
        <w:t>CONDOTTO DA AGICI- ACCENTURE</w:t>
      </w:r>
    </w:p>
    <w:p w14:paraId="5E873BC9" w14:textId="77777777" w:rsidR="001C38DE" w:rsidRPr="004358C8" w:rsidRDefault="001C38DE" w:rsidP="00E32F87">
      <w:pPr>
        <w:pBdr>
          <w:top w:val="nil"/>
          <w:left w:val="nil"/>
          <w:bottom w:val="nil"/>
          <w:right w:val="nil"/>
          <w:between w:val="nil"/>
        </w:pBdr>
        <w:spacing w:line="240" w:lineRule="auto"/>
        <w:jc w:val="both"/>
        <w:rPr>
          <w:rFonts w:ascii="Arial" w:hAnsi="Arial" w:cs="Arial"/>
          <w:b/>
        </w:rPr>
      </w:pPr>
    </w:p>
    <w:p w14:paraId="364271A6" w14:textId="544A0E12" w:rsidR="001C38DE" w:rsidRPr="004358C8" w:rsidRDefault="004A3BD8" w:rsidP="00E32F87">
      <w:pPr>
        <w:pBdr>
          <w:top w:val="nil"/>
          <w:left w:val="nil"/>
          <w:bottom w:val="nil"/>
          <w:right w:val="nil"/>
          <w:between w:val="nil"/>
        </w:pBdr>
        <w:spacing w:line="240" w:lineRule="auto"/>
        <w:jc w:val="both"/>
        <w:rPr>
          <w:rFonts w:ascii="Arial" w:hAnsi="Arial" w:cs="Arial"/>
          <w:b/>
        </w:rPr>
      </w:pPr>
      <w:r w:rsidRPr="004358C8">
        <w:rPr>
          <w:rFonts w:ascii="Arial" w:hAnsi="Arial" w:cs="Arial"/>
        </w:rPr>
        <w:t>In occasione della ventitreesima edizione del Workshop Osservatorio</w:t>
      </w:r>
      <w:r w:rsidR="00691922" w:rsidRPr="004358C8">
        <w:rPr>
          <w:rFonts w:ascii="Arial" w:hAnsi="Arial" w:cs="Arial"/>
        </w:rPr>
        <w:t xml:space="preserve"> Utilities</w:t>
      </w:r>
      <w:r w:rsidRPr="004358C8">
        <w:rPr>
          <w:rFonts w:ascii="Arial" w:hAnsi="Arial" w:cs="Arial"/>
        </w:rPr>
        <w:t xml:space="preserve"> A</w:t>
      </w:r>
      <w:r w:rsidR="00691922" w:rsidRPr="004358C8">
        <w:rPr>
          <w:rFonts w:ascii="Arial" w:hAnsi="Arial" w:cs="Arial"/>
        </w:rPr>
        <w:t>gici</w:t>
      </w:r>
      <w:r w:rsidRPr="004358C8">
        <w:rPr>
          <w:rFonts w:ascii="Arial" w:hAnsi="Arial" w:cs="Arial"/>
        </w:rPr>
        <w:t>-A</w:t>
      </w:r>
      <w:r w:rsidR="00691922" w:rsidRPr="004358C8">
        <w:rPr>
          <w:rFonts w:ascii="Arial" w:hAnsi="Arial" w:cs="Arial"/>
        </w:rPr>
        <w:t>ccenture</w:t>
      </w:r>
      <w:r w:rsidRPr="004358C8">
        <w:rPr>
          <w:rFonts w:ascii="Arial" w:hAnsi="Arial" w:cs="Arial"/>
        </w:rPr>
        <w:t xml:space="preserve"> è stat</w:t>
      </w:r>
      <w:r w:rsidR="00691922" w:rsidRPr="004358C8">
        <w:rPr>
          <w:rFonts w:ascii="Arial" w:hAnsi="Arial" w:cs="Arial"/>
        </w:rPr>
        <w:t>a</w:t>
      </w:r>
      <w:r w:rsidRPr="004358C8">
        <w:rPr>
          <w:rFonts w:ascii="Arial" w:hAnsi="Arial" w:cs="Arial"/>
        </w:rPr>
        <w:t xml:space="preserve"> presentata l’analisi</w:t>
      </w:r>
      <w:r w:rsidR="004358C8" w:rsidRPr="004358C8">
        <w:rPr>
          <w:rFonts w:ascii="Arial" w:hAnsi="Arial" w:cs="Arial"/>
        </w:rPr>
        <w:t>,</w:t>
      </w:r>
      <w:r w:rsidRPr="004358C8">
        <w:rPr>
          <w:rFonts w:ascii="Arial" w:hAnsi="Arial" w:cs="Arial"/>
        </w:rPr>
        <w:t xml:space="preserve"> </w:t>
      </w:r>
      <w:r w:rsidR="00691922" w:rsidRPr="004358C8">
        <w:rPr>
          <w:rFonts w:ascii="Arial" w:hAnsi="Arial" w:cs="Arial"/>
        </w:rPr>
        <w:t>sul</w:t>
      </w:r>
      <w:r w:rsidRPr="004358C8">
        <w:rPr>
          <w:rFonts w:ascii="Arial" w:hAnsi="Arial" w:cs="Arial"/>
        </w:rPr>
        <w:t xml:space="preserve"> ruolo e le potenzialità</w:t>
      </w:r>
      <w:r w:rsidR="004358C8" w:rsidRPr="004358C8">
        <w:rPr>
          <w:rFonts w:ascii="Arial" w:hAnsi="Arial" w:cs="Arial"/>
        </w:rPr>
        <w:t>,</w:t>
      </w:r>
      <w:r w:rsidRPr="004358C8">
        <w:rPr>
          <w:rFonts w:ascii="Arial" w:hAnsi="Arial" w:cs="Arial"/>
        </w:rPr>
        <w:t xml:space="preserve"> </w:t>
      </w:r>
      <w:r w:rsidR="00691922" w:rsidRPr="004358C8">
        <w:rPr>
          <w:rFonts w:ascii="Arial" w:hAnsi="Arial" w:cs="Arial"/>
        </w:rPr>
        <w:t>relativ</w:t>
      </w:r>
      <w:r w:rsidR="004358C8" w:rsidRPr="004358C8">
        <w:rPr>
          <w:rFonts w:ascii="Arial" w:hAnsi="Arial" w:cs="Arial"/>
        </w:rPr>
        <w:t>a</w:t>
      </w:r>
      <w:r w:rsidRPr="004358C8">
        <w:rPr>
          <w:rFonts w:ascii="Arial" w:hAnsi="Arial" w:cs="Arial"/>
        </w:rPr>
        <w:t xml:space="preserve"> </w:t>
      </w:r>
      <w:r w:rsidR="00691922" w:rsidRPr="004358C8">
        <w:rPr>
          <w:rFonts w:ascii="Arial" w:hAnsi="Arial" w:cs="Arial"/>
        </w:rPr>
        <w:t>al</w:t>
      </w:r>
      <w:r w:rsidRPr="004358C8">
        <w:rPr>
          <w:rFonts w:ascii="Arial" w:hAnsi="Arial" w:cs="Arial"/>
        </w:rPr>
        <w:t xml:space="preserve">lo sviluppo </w:t>
      </w:r>
      <w:r w:rsidR="00691922" w:rsidRPr="004358C8">
        <w:rPr>
          <w:rFonts w:ascii="Arial" w:hAnsi="Arial" w:cs="Arial"/>
        </w:rPr>
        <w:t>dell</w:t>
      </w:r>
      <w:r w:rsidRPr="004358C8">
        <w:rPr>
          <w:rFonts w:ascii="Arial" w:hAnsi="Arial" w:cs="Arial"/>
        </w:rPr>
        <w:t>e</w:t>
      </w:r>
      <w:r w:rsidR="00691922" w:rsidRPr="004358C8">
        <w:rPr>
          <w:rFonts w:ascii="Arial" w:hAnsi="Arial" w:cs="Arial"/>
        </w:rPr>
        <w:t xml:space="preserve"> </w:t>
      </w:r>
      <w:r w:rsidRPr="004358C8">
        <w:rPr>
          <w:rFonts w:ascii="Arial" w:hAnsi="Arial" w:cs="Arial"/>
        </w:rPr>
        <w:t>comunità energetiche</w:t>
      </w:r>
      <w:r w:rsidR="00691922" w:rsidRPr="004358C8">
        <w:rPr>
          <w:rFonts w:ascii="Arial" w:hAnsi="Arial" w:cs="Arial"/>
        </w:rPr>
        <w:t xml:space="preserve"> a supporto del </w:t>
      </w:r>
      <w:r w:rsidRPr="004358C8">
        <w:rPr>
          <w:rFonts w:ascii="Arial" w:hAnsi="Arial" w:cs="Arial"/>
        </w:rPr>
        <w:t>percorso di transizione energetica del Paese.</w:t>
      </w:r>
    </w:p>
    <w:p w14:paraId="1F2490A7" w14:textId="58CE1C20" w:rsidR="00691922" w:rsidRPr="004358C8" w:rsidRDefault="00691922" w:rsidP="00E32F87">
      <w:pPr>
        <w:pBdr>
          <w:top w:val="nil"/>
          <w:left w:val="nil"/>
          <w:bottom w:val="nil"/>
          <w:right w:val="nil"/>
          <w:between w:val="nil"/>
        </w:pBdr>
        <w:spacing w:line="240" w:lineRule="auto"/>
        <w:jc w:val="both"/>
        <w:rPr>
          <w:rFonts w:ascii="Arial" w:hAnsi="Arial" w:cs="Arial"/>
          <w:b/>
        </w:rPr>
      </w:pPr>
    </w:p>
    <w:p w14:paraId="7B9B75B3" w14:textId="648065B0" w:rsidR="000A5109" w:rsidRPr="004358C8" w:rsidRDefault="00691922" w:rsidP="00691922">
      <w:pPr>
        <w:pBdr>
          <w:top w:val="nil"/>
          <w:left w:val="nil"/>
          <w:bottom w:val="nil"/>
          <w:right w:val="nil"/>
          <w:between w:val="nil"/>
        </w:pBdr>
        <w:spacing w:line="240" w:lineRule="auto"/>
        <w:jc w:val="both"/>
        <w:rPr>
          <w:rFonts w:ascii="Arial" w:hAnsi="Arial" w:cs="Arial"/>
          <w:b/>
        </w:rPr>
      </w:pPr>
      <w:r w:rsidRPr="004358C8">
        <w:rPr>
          <w:rFonts w:ascii="Arial" w:hAnsi="Arial" w:cs="Arial"/>
          <w:b/>
        </w:rPr>
        <w:t xml:space="preserve">Qui di seguito i principali highlights emersi dall’ </w:t>
      </w:r>
      <w:r w:rsidR="000A5109" w:rsidRPr="004358C8">
        <w:rPr>
          <w:rFonts w:ascii="Arial" w:hAnsi="Arial" w:cs="Arial"/>
          <w:b/>
        </w:rPr>
        <w:t xml:space="preserve">Analisi </w:t>
      </w:r>
      <w:r w:rsidR="00562478" w:rsidRPr="004358C8">
        <w:rPr>
          <w:rFonts w:ascii="Arial" w:hAnsi="Arial" w:cs="Arial"/>
          <w:b/>
        </w:rPr>
        <w:t>Accenture – Agici</w:t>
      </w:r>
    </w:p>
    <w:p w14:paraId="3B62431B" w14:textId="77777777" w:rsidR="00D9606D" w:rsidRPr="004358C8" w:rsidRDefault="00D9606D" w:rsidP="00D9606D">
      <w:pPr>
        <w:spacing w:before="100" w:beforeAutospacing="1" w:after="240"/>
        <w:rPr>
          <w:rFonts w:ascii="Arial" w:hAnsi="Arial" w:cs="Arial"/>
          <w:sz w:val="21"/>
          <w:szCs w:val="21"/>
          <w:lang w:eastAsia="it-IT"/>
        </w:rPr>
      </w:pPr>
      <w:r w:rsidRPr="004358C8">
        <w:rPr>
          <w:rFonts w:ascii="Arial" w:hAnsi="Arial" w:cs="Arial"/>
          <w:sz w:val="21"/>
          <w:szCs w:val="21"/>
          <w:lang w:eastAsia="it-IT"/>
        </w:rPr>
        <w:t xml:space="preserve">L’Italia ha l’ambizioso obiettivo di raggiungere 5GW di potenza installata con la creazione di comunità energetiche, ma ad oggi queste rappresentano un’opportunità non ancora sfruttata appieno. </w:t>
      </w:r>
    </w:p>
    <w:p w14:paraId="43B548F0" w14:textId="77777777" w:rsidR="00D9606D" w:rsidRPr="004358C8" w:rsidRDefault="00D9606D" w:rsidP="00D9606D">
      <w:pPr>
        <w:spacing w:before="100" w:beforeAutospacing="1" w:after="240"/>
        <w:rPr>
          <w:rFonts w:ascii="Arial" w:hAnsi="Arial" w:cs="Arial"/>
          <w:sz w:val="21"/>
          <w:szCs w:val="21"/>
          <w:lang w:eastAsia="it-IT"/>
        </w:rPr>
      </w:pPr>
      <w:r w:rsidRPr="004358C8">
        <w:rPr>
          <w:rFonts w:ascii="Arial" w:hAnsi="Arial" w:cs="Arial"/>
          <w:sz w:val="21"/>
          <w:szCs w:val="21"/>
          <w:lang w:eastAsia="it-IT"/>
        </w:rPr>
        <w:t>Sulla base degli scenari analizzati, investire in questo ambito comporterebbe un impatto ambientale ed economico significativo pari ad un risparmio di CO2 di 1,35 milioni di tonnellate ed un beneficio economico per le comunità tra i 1,3 e 1,5 miliardi di euro.</w:t>
      </w:r>
    </w:p>
    <w:p w14:paraId="1CBBE8C5" w14:textId="77777777" w:rsidR="00D9606D" w:rsidRPr="004358C8" w:rsidRDefault="00D9606D" w:rsidP="00D9606D">
      <w:pPr>
        <w:spacing w:before="100" w:beforeAutospacing="1" w:after="240"/>
        <w:rPr>
          <w:rFonts w:ascii="Arial" w:hAnsi="Arial" w:cs="Arial"/>
          <w:sz w:val="21"/>
          <w:szCs w:val="21"/>
          <w:lang w:eastAsia="it-IT"/>
        </w:rPr>
      </w:pPr>
      <w:r w:rsidRPr="004358C8">
        <w:rPr>
          <w:rFonts w:ascii="Arial" w:hAnsi="Arial" w:cs="Arial"/>
          <w:sz w:val="21"/>
          <w:szCs w:val="21"/>
          <w:lang w:eastAsia="it-IT"/>
        </w:rPr>
        <w:t>Per raggiungere questo traguardo i player energetici devono giocare un ruolo chiave sfruttando le proprie risorse e competenze e facendo leva anche sull’introduzione di nuovi modelli di business maggiormente scalabili.</w:t>
      </w:r>
    </w:p>
    <w:p w14:paraId="72FB8D54" w14:textId="77777777" w:rsidR="00562478" w:rsidRPr="004358C8" w:rsidRDefault="00562478" w:rsidP="00B36E56">
      <w:pPr>
        <w:pStyle w:val="Intestazione"/>
        <w:rPr>
          <w:rFonts w:ascii="Arial" w:hAnsi="Arial" w:cs="Arial"/>
        </w:rPr>
      </w:pPr>
    </w:p>
    <w:p w14:paraId="546E8FCC" w14:textId="10AAFF3A" w:rsidR="00562478" w:rsidRPr="004358C8" w:rsidRDefault="005763D1" w:rsidP="00B36E56">
      <w:pPr>
        <w:pStyle w:val="Intestazione"/>
        <w:rPr>
          <w:rFonts w:ascii="Arial" w:hAnsi="Arial" w:cs="Arial"/>
          <w:b/>
          <w:bCs/>
        </w:rPr>
      </w:pPr>
      <w:r w:rsidRPr="004358C8">
        <w:rPr>
          <w:rFonts w:ascii="Arial" w:hAnsi="Arial" w:cs="Arial"/>
          <w:b/>
          <w:bCs/>
        </w:rPr>
        <w:t>SUMMARY DEL</w:t>
      </w:r>
      <w:r w:rsidR="00B63B23">
        <w:rPr>
          <w:rFonts w:ascii="Arial" w:hAnsi="Arial" w:cs="Arial"/>
          <w:b/>
          <w:bCs/>
        </w:rPr>
        <w:t>L’ANALISI</w:t>
      </w:r>
    </w:p>
    <w:p w14:paraId="485B9D73" w14:textId="77777777" w:rsidR="005678F5" w:rsidRPr="004358C8" w:rsidRDefault="005678F5" w:rsidP="005678F5">
      <w:pPr>
        <w:rPr>
          <w:rFonts w:ascii="Arial" w:hAnsi="Arial" w:cs="Arial"/>
          <w:sz w:val="18"/>
          <w:szCs w:val="18"/>
        </w:rPr>
      </w:pPr>
    </w:p>
    <w:p w14:paraId="036A85C9" w14:textId="1AD8C9E1" w:rsidR="008F27AB" w:rsidRPr="004358C8" w:rsidRDefault="008F27AB" w:rsidP="00966277">
      <w:pPr>
        <w:rPr>
          <w:rFonts w:ascii="Arial" w:hAnsi="Arial" w:cs="Arial"/>
          <w:b/>
          <w:bCs/>
        </w:rPr>
      </w:pPr>
      <w:r w:rsidRPr="004358C8">
        <w:rPr>
          <w:rFonts w:ascii="Arial" w:hAnsi="Arial" w:cs="Arial"/>
          <w:b/>
          <w:bCs/>
        </w:rPr>
        <w:t>Il ruolo primario delle comunità energetiche in Italia</w:t>
      </w:r>
      <w:r w:rsidR="00966277" w:rsidRPr="004358C8">
        <w:rPr>
          <w:rFonts w:ascii="Arial" w:hAnsi="Arial" w:cs="Arial"/>
          <w:b/>
          <w:bCs/>
        </w:rPr>
        <w:t xml:space="preserve"> </w:t>
      </w:r>
      <w:r w:rsidR="00DF09CA" w:rsidRPr="004358C8">
        <w:rPr>
          <w:rFonts w:ascii="Arial" w:hAnsi="Arial" w:cs="Arial"/>
          <w:b/>
          <w:bCs/>
        </w:rPr>
        <w:t>nel</w:t>
      </w:r>
      <w:r w:rsidR="00991FA5" w:rsidRPr="004358C8">
        <w:rPr>
          <w:rFonts w:ascii="Arial" w:hAnsi="Arial" w:cs="Arial"/>
          <w:b/>
          <w:bCs/>
        </w:rPr>
        <w:t>la</w:t>
      </w:r>
      <w:r w:rsidR="00966277" w:rsidRPr="004358C8">
        <w:rPr>
          <w:rFonts w:ascii="Arial" w:hAnsi="Arial" w:cs="Arial"/>
          <w:b/>
          <w:bCs/>
        </w:rPr>
        <w:t xml:space="preserve"> transizione</w:t>
      </w:r>
      <w:r w:rsidR="00991FA5" w:rsidRPr="004358C8">
        <w:rPr>
          <w:rFonts w:ascii="Arial" w:hAnsi="Arial" w:cs="Arial"/>
          <w:b/>
          <w:bCs/>
        </w:rPr>
        <w:t xml:space="preserve">: </w:t>
      </w:r>
      <w:r w:rsidRPr="004358C8">
        <w:rPr>
          <w:rFonts w:ascii="Arial" w:hAnsi="Arial" w:cs="Arial"/>
          <w:b/>
          <w:bCs/>
        </w:rPr>
        <w:t>Accenture racconta benefici e opportunità del comparto</w:t>
      </w:r>
      <w:r w:rsidR="00D9626B" w:rsidRPr="004358C8">
        <w:rPr>
          <w:rFonts w:ascii="Arial" w:hAnsi="Arial" w:cs="Arial"/>
          <w:b/>
          <w:bCs/>
        </w:rPr>
        <w:t>.</w:t>
      </w:r>
      <w:r w:rsidR="00991FA5" w:rsidRPr="004358C8">
        <w:rPr>
          <w:rFonts w:ascii="Arial" w:hAnsi="Arial" w:cs="Arial"/>
          <w:b/>
          <w:bCs/>
        </w:rPr>
        <w:t xml:space="preserve"> </w:t>
      </w:r>
    </w:p>
    <w:p w14:paraId="682EDE89" w14:textId="77777777" w:rsidR="00991FA5" w:rsidRPr="004358C8" w:rsidRDefault="00991FA5" w:rsidP="00991FA5">
      <w:pPr>
        <w:pStyle w:val="Paragrafoelenco"/>
        <w:rPr>
          <w:rFonts w:ascii="Arial" w:hAnsi="Arial" w:cs="Arial"/>
        </w:rPr>
      </w:pPr>
    </w:p>
    <w:p w14:paraId="1C32A887" w14:textId="77777777" w:rsidR="00D9606D" w:rsidRPr="004358C8" w:rsidRDefault="00D9606D" w:rsidP="00D9606D">
      <w:pPr>
        <w:numPr>
          <w:ilvl w:val="0"/>
          <w:numId w:val="27"/>
        </w:numPr>
        <w:spacing w:before="100" w:beforeAutospacing="1" w:after="100" w:afterAutospacing="1" w:line="240" w:lineRule="auto"/>
        <w:rPr>
          <w:rFonts w:ascii="Arial" w:eastAsia="Times New Roman" w:hAnsi="Arial" w:cs="Arial"/>
          <w:sz w:val="21"/>
          <w:szCs w:val="21"/>
          <w:lang w:eastAsia="it-IT"/>
        </w:rPr>
      </w:pPr>
      <w:r w:rsidRPr="004358C8">
        <w:rPr>
          <w:rFonts w:ascii="Arial" w:eastAsia="Times New Roman" w:hAnsi="Arial" w:cs="Arial"/>
          <w:sz w:val="21"/>
          <w:szCs w:val="21"/>
          <w:lang w:eastAsia="it-IT"/>
        </w:rPr>
        <w:t>Le comunità energetiche rappresentano un nuovo paradigma per supportare la strategia di crescita di rinnovabili sul territorio nazionale e dunque favorire la transizione energetica, ma allo stato attuale l’opportunità non è ancora sfruttata appieno.</w:t>
      </w:r>
    </w:p>
    <w:p w14:paraId="5E77F9BE" w14:textId="77777777" w:rsidR="00D9606D" w:rsidRPr="004358C8" w:rsidRDefault="00D9606D" w:rsidP="00D9606D">
      <w:pPr>
        <w:numPr>
          <w:ilvl w:val="0"/>
          <w:numId w:val="28"/>
        </w:numPr>
        <w:spacing w:before="100" w:beforeAutospacing="1" w:after="100" w:afterAutospacing="1" w:line="240" w:lineRule="auto"/>
        <w:rPr>
          <w:rFonts w:ascii="Arial" w:eastAsia="Times New Roman" w:hAnsi="Arial" w:cs="Arial"/>
          <w:sz w:val="21"/>
          <w:szCs w:val="21"/>
          <w:lang w:eastAsia="it-IT"/>
        </w:rPr>
      </w:pPr>
      <w:r w:rsidRPr="004358C8">
        <w:rPr>
          <w:rFonts w:ascii="Arial" w:eastAsia="Times New Roman" w:hAnsi="Arial" w:cs="Arial"/>
          <w:sz w:val="21"/>
          <w:szCs w:val="21"/>
          <w:lang w:eastAsia="it-IT"/>
        </w:rPr>
        <w:t xml:space="preserve">I player energetici hanno già a portafoglio </w:t>
      </w:r>
      <w:proofErr w:type="spellStart"/>
      <w:r w:rsidRPr="004358C8">
        <w:rPr>
          <w:rFonts w:ascii="Arial" w:eastAsia="Times New Roman" w:hAnsi="Arial" w:cs="Arial"/>
          <w:sz w:val="21"/>
          <w:szCs w:val="21"/>
          <w:lang w:eastAsia="it-IT"/>
        </w:rPr>
        <w:t>offering</w:t>
      </w:r>
      <w:proofErr w:type="spellEnd"/>
      <w:r w:rsidRPr="004358C8">
        <w:rPr>
          <w:rFonts w:ascii="Arial" w:eastAsia="Times New Roman" w:hAnsi="Arial" w:cs="Arial"/>
          <w:sz w:val="21"/>
          <w:szCs w:val="21"/>
          <w:lang w:eastAsia="it-IT"/>
        </w:rPr>
        <w:t xml:space="preserve"> dedicate che coprono sia la fase di realizzazione che la fase di gestione delle comunità energetiche, ma possono rafforzare il proprio ruolo per favorirne la promozione e implementazione.</w:t>
      </w:r>
    </w:p>
    <w:p w14:paraId="3BB4CF6E" w14:textId="77777777" w:rsidR="00D9606D" w:rsidRPr="004358C8" w:rsidRDefault="00D9606D" w:rsidP="00D9606D">
      <w:pPr>
        <w:numPr>
          <w:ilvl w:val="0"/>
          <w:numId w:val="29"/>
        </w:numPr>
        <w:spacing w:before="100" w:beforeAutospacing="1" w:after="100" w:afterAutospacing="1" w:line="240" w:lineRule="auto"/>
        <w:rPr>
          <w:rFonts w:ascii="Arial" w:eastAsia="Times New Roman" w:hAnsi="Arial" w:cs="Arial"/>
          <w:sz w:val="21"/>
          <w:szCs w:val="21"/>
          <w:lang w:eastAsia="it-IT"/>
        </w:rPr>
      </w:pPr>
      <w:r w:rsidRPr="004358C8">
        <w:rPr>
          <w:rFonts w:ascii="Arial" w:eastAsia="Times New Roman" w:hAnsi="Arial" w:cs="Arial"/>
          <w:sz w:val="21"/>
          <w:szCs w:val="21"/>
          <w:lang w:eastAsia="it-IT"/>
        </w:rPr>
        <w:t>In aggiunta ai modelli di business attuali, sfruttando le proprie competenze e risorse, potrebbero introdurre due nuovi modelli (industriale e a piattaforma) per uno sviluppo organico e scalabile sul territorio nazionale.</w:t>
      </w:r>
    </w:p>
    <w:p w14:paraId="22868DE6" w14:textId="069A2634" w:rsidR="00D9606D" w:rsidRPr="004358C8" w:rsidRDefault="00D9606D" w:rsidP="00CC5B86">
      <w:pPr>
        <w:numPr>
          <w:ilvl w:val="0"/>
          <w:numId w:val="30"/>
        </w:numPr>
        <w:spacing w:before="100" w:beforeAutospacing="1" w:after="100" w:afterAutospacing="1" w:line="240" w:lineRule="auto"/>
        <w:rPr>
          <w:rFonts w:ascii="Arial" w:eastAsia="Times New Roman" w:hAnsi="Arial" w:cs="Arial"/>
          <w:sz w:val="21"/>
          <w:szCs w:val="21"/>
          <w:lang w:eastAsia="it-IT"/>
        </w:rPr>
      </w:pPr>
      <w:r w:rsidRPr="004358C8">
        <w:rPr>
          <w:rFonts w:ascii="Arial" w:eastAsia="Times New Roman" w:hAnsi="Arial" w:cs="Arial"/>
          <w:sz w:val="21"/>
          <w:szCs w:val="21"/>
          <w:lang w:eastAsia="it-IT"/>
        </w:rPr>
        <w:t>Raggiungendo i 5GW di potenza installata (come da obiettivo previsto da normativa), le comunità energetiche potrebbero generare sulla base degli scenari Accenture una riduzione di CO2 pari a 1,35 M tonnellate e un beneficio economico tra i 1,3 e 1,5 miliardi di euro</w:t>
      </w:r>
      <w:proofErr w:type="gramStart"/>
      <w:r w:rsidR="00CC5B86" w:rsidRPr="004358C8">
        <w:rPr>
          <w:rFonts w:ascii="Arial" w:eastAsia="Times New Roman" w:hAnsi="Arial" w:cs="Arial"/>
          <w:sz w:val="21"/>
          <w:szCs w:val="21"/>
          <w:lang w:eastAsia="it-IT"/>
        </w:rPr>
        <w:t>, ,</w:t>
      </w:r>
      <w:proofErr w:type="gramEnd"/>
      <w:r w:rsidR="00CC5B86" w:rsidRPr="004358C8">
        <w:rPr>
          <w:rFonts w:ascii="Arial" w:eastAsia="Times New Roman" w:hAnsi="Arial" w:cs="Arial"/>
          <w:sz w:val="21"/>
          <w:szCs w:val="21"/>
          <w:lang w:eastAsia="it-IT"/>
        </w:rPr>
        <w:t xml:space="preserve"> a fronte di un investimento previsto di circa 5-7 miliardi di euro.</w:t>
      </w:r>
    </w:p>
    <w:p w14:paraId="4CE2D3AB" w14:textId="77777777" w:rsidR="000A60DB" w:rsidRPr="004358C8" w:rsidRDefault="000A60DB" w:rsidP="000A60DB">
      <w:pPr>
        <w:pStyle w:val="Paragrafoelenco"/>
        <w:jc w:val="both"/>
        <w:rPr>
          <w:rFonts w:ascii="Arial" w:hAnsi="Arial" w:cs="Arial"/>
        </w:rPr>
      </w:pPr>
    </w:p>
    <w:p w14:paraId="4011917C" w14:textId="77777777" w:rsidR="00497811" w:rsidRDefault="00497811" w:rsidP="00F31ED2">
      <w:pPr>
        <w:jc w:val="both"/>
        <w:rPr>
          <w:rFonts w:ascii="Arial" w:hAnsi="Arial" w:cs="Arial"/>
        </w:rPr>
      </w:pPr>
    </w:p>
    <w:p w14:paraId="15FBBB29" w14:textId="77777777" w:rsidR="00497811" w:rsidRDefault="00497811" w:rsidP="00F31ED2">
      <w:pPr>
        <w:jc w:val="both"/>
        <w:rPr>
          <w:rFonts w:ascii="Arial" w:hAnsi="Arial" w:cs="Arial"/>
        </w:rPr>
      </w:pPr>
    </w:p>
    <w:p w14:paraId="5FA6C2F0" w14:textId="77777777" w:rsidR="00497811" w:rsidRDefault="00497811" w:rsidP="00F31ED2">
      <w:pPr>
        <w:jc w:val="both"/>
        <w:rPr>
          <w:rFonts w:ascii="Arial" w:hAnsi="Arial" w:cs="Arial"/>
        </w:rPr>
      </w:pPr>
    </w:p>
    <w:p w14:paraId="7418E044" w14:textId="77777777" w:rsidR="00497811" w:rsidRDefault="00497811" w:rsidP="00F31ED2">
      <w:pPr>
        <w:jc w:val="both"/>
        <w:rPr>
          <w:rFonts w:ascii="Arial" w:hAnsi="Arial" w:cs="Arial"/>
        </w:rPr>
      </w:pPr>
    </w:p>
    <w:p w14:paraId="052E8DDD" w14:textId="77777777" w:rsidR="00497811" w:rsidRDefault="00497811" w:rsidP="00F31ED2">
      <w:pPr>
        <w:jc w:val="both"/>
        <w:rPr>
          <w:rFonts w:ascii="Arial" w:hAnsi="Arial" w:cs="Arial"/>
        </w:rPr>
      </w:pPr>
    </w:p>
    <w:p w14:paraId="08D3B239" w14:textId="796079D3" w:rsidR="00F31ED2" w:rsidRPr="004358C8" w:rsidRDefault="00DD6173" w:rsidP="00F31ED2">
      <w:pPr>
        <w:jc w:val="both"/>
        <w:rPr>
          <w:rFonts w:ascii="Arial" w:hAnsi="Arial" w:cs="Arial"/>
        </w:rPr>
      </w:pPr>
      <w:r w:rsidRPr="004358C8">
        <w:rPr>
          <w:rFonts w:ascii="Arial" w:hAnsi="Arial" w:cs="Arial"/>
        </w:rPr>
        <w:t xml:space="preserve">La transizione verso </w:t>
      </w:r>
      <w:r w:rsidR="009F38FE" w:rsidRPr="004358C8">
        <w:rPr>
          <w:rFonts w:ascii="Arial" w:hAnsi="Arial" w:cs="Arial"/>
        </w:rPr>
        <w:t xml:space="preserve">forme </w:t>
      </w:r>
      <w:r w:rsidRPr="004358C8">
        <w:rPr>
          <w:rFonts w:ascii="Arial" w:hAnsi="Arial" w:cs="Arial"/>
        </w:rPr>
        <w:t xml:space="preserve">di produzione e consumo più sostenibili è diventata una delle grandi priorità dei nostri giorni. L’affermarsi di una società low carbon ci pone davanti innumerevoli sfide e opportunità per il comparto energetico italiano e non solo. </w:t>
      </w:r>
    </w:p>
    <w:p w14:paraId="09D74B2C" w14:textId="77777777" w:rsidR="00F31ED2" w:rsidRPr="004358C8" w:rsidRDefault="00F31ED2" w:rsidP="00F31ED2">
      <w:pPr>
        <w:jc w:val="both"/>
        <w:rPr>
          <w:rFonts w:ascii="Arial" w:hAnsi="Arial" w:cs="Arial"/>
        </w:rPr>
      </w:pPr>
    </w:p>
    <w:p w14:paraId="3C68D9F2" w14:textId="77777777" w:rsidR="00F31ED2" w:rsidRPr="004358C8" w:rsidRDefault="00F31ED2" w:rsidP="00F31ED2">
      <w:pPr>
        <w:jc w:val="both"/>
        <w:rPr>
          <w:rFonts w:ascii="Arial" w:hAnsi="Arial" w:cs="Arial"/>
        </w:rPr>
      </w:pPr>
      <w:r w:rsidRPr="004358C8">
        <w:rPr>
          <w:rFonts w:ascii="Arial" w:hAnsi="Arial" w:cs="Arial"/>
        </w:rPr>
        <w:t>La Commissione Europea con la «</w:t>
      </w:r>
      <w:proofErr w:type="spellStart"/>
      <w:r w:rsidRPr="004358C8">
        <w:rPr>
          <w:rFonts w:ascii="Arial" w:hAnsi="Arial" w:cs="Arial"/>
        </w:rPr>
        <w:t>Renewable</w:t>
      </w:r>
      <w:proofErr w:type="spellEnd"/>
      <w:r w:rsidRPr="004358C8">
        <w:rPr>
          <w:rFonts w:ascii="Arial" w:hAnsi="Arial" w:cs="Arial"/>
        </w:rPr>
        <w:t xml:space="preserve"> Energy Directive» si è posta come obiettivo il raggiungimento del </w:t>
      </w:r>
      <w:r w:rsidRPr="004358C8">
        <w:rPr>
          <w:rFonts w:ascii="Arial" w:hAnsi="Arial" w:cs="Arial"/>
          <w:b/>
          <w:bCs/>
        </w:rPr>
        <w:t>32% di consumo energetico da fonti rinnovabili entro il 2030</w:t>
      </w:r>
      <w:r w:rsidRPr="004358C8">
        <w:rPr>
          <w:rFonts w:ascii="Arial" w:hAnsi="Arial" w:cs="Arial"/>
        </w:rPr>
        <w:t>.</w:t>
      </w:r>
    </w:p>
    <w:p w14:paraId="502508D9" w14:textId="4C13080A" w:rsidR="002E097F" w:rsidRPr="004358C8" w:rsidRDefault="00F31ED2" w:rsidP="006C7B71">
      <w:pPr>
        <w:spacing w:after="160"/>
        <w:jc w:val="both"/>
        <w:rPr>
          <w:rFonts w:ascii="Arial" w:hAnsi="Arial" w:cs="Arial"/>
        </w:rPr>
      </w:pPr>
      <w:r w:rsidRPr="004358C8">
        <w:rPr>
          <w:rFonts w:ascii="Arial" w:hAnsi="Arial" w:cs="Arial"/>
        </w:rPr>
        <w:t xml:space="preserve">L’Italia si sta adeguando al contesto europeo per favorire lo sviluppo delle Comunità di Energia Rinnovabile (CER) e l’Autoconsumo Collettivo (AUC), prevedendo di concludere l’iter di recepimento entro il primo semestre 2023. </w:t>
      </w:r>
    </w:p>
    <w:p w14:paraId="7209D1BD" w14:textId="490C7854" w:rsidR="00D611B3" w:rsidRPr="004358C8" w:rsidRDefault="00D611B3" w:rsidP="00C71FC2">
      <w:pPr>
        <w:jc w:val="both"/>
        <w:rPr>
          <w:rFonts w:ascii="Arial" w:hAnsi="Arial" w:cs="Arial"/>
          <w:b/>
          <w:bCs/>
        </w:rPr>
      </w:pPr>
      <w:r w:rsidRPr="004358C8">
        <w:rPr>
          <w:rFonts w:ascii="Arial" w:hAnsi="Arial" w:cs="Arial"/>
        </w:rPr>
        <w:t>Secondo i risultati dell</w:t>
      </w:r>
      <w:r w:rsidR="005763D1" w:rsidRPr="004358C8">
        <w:rPr>
          <w:rFonts w:ascii="Arial" w:hAnsi="Arial" w:cs="Arial"/>
        </w:rPr>
        <w:t xml:space="preserve">’analisi </w:t>
      </w:r>
      <w:r w:rsidRPr="004358C8">
        <w:rPr>
          <w:rFonts w:ascii="Arial" w:hAnsi="Arial" w:cs="Arial"/>
        </w:rPr>
        <w:t>“</w:t>
      </w:r>
      <w:r w:rsidR="00774ECA" w:rsidRPr="004358C8">
        <w:rPr>
          <w:rFonts w:ascii="Arial" w:hAnsi="Arial" w:cs="Arial"/>
        </w:rPr>
        <w:t xml:space="preserve">Modelli per promuovere le </w:t>
      </w:r>
      <w:r w:rsidR="0006641A" w:rsidRPr="004358C8">
        <w:rPr>
          <w:rFonts w:ascii="Arial" w:hAnsi="Arial" w:cs="Arial"/>
        </w:rPr>
        <w:t>comunità energetiche</w:t>
      </w:r>
      <w:r w:rsidR="00EF1F8F" w:rsidRPr="004358C8">
        <w:rPr>
          <w:rFonts w:ascii="Arial" w:hAnsi="Arial" w:cs="Arial"/>
        </w:rPr>
        <w:t>: un’opportunità per le utilities</w:t>
      </w:r>
      <w:r w:rsidRPr="004358C8">
        <w:rPr>
          <w:rFonts w:ascii="Arial" w:hAnsi="Arial" w:cs="Arial"/>
        </w:rPr>
        <w:t xml:space="preserve">” condotto da </w:t>
      </w:r>
      <w:r w:rsidRPr="004358C8">
        <w:rPr>
          <w:rFonts w:ascii="Arial" w:hAnsi="Arial" w:cs="Arial"/>
          <w:b/>
          <w:bCs/>
        </w:rPr>
        <w:t>Accenture</w:t>
      </w:r>
      <w:r w:rsidRPr="004358C8">
        <w:rPr>
          <w:rFonts w:ascii="Arial" w:hAnsi="Arial" w:cs="Arial"/>
        </w:rPr>
        <w:t xml:space="preserve"> e presentato nell’ambito del Workshop</w:t>
      </w:r>
      <w:r w:rsidR="001A523C" w:rsidRPr="004358C8">
        <w:rPr>
          <w:rFonts w:ascii="Arial" w:hAnsi="Arial" w:cs="Arial"/>
        </w:rPr>
        <w:t xml:space="preserve"> </w:t>
      </w:r>
      <w:r w:rsidRPr="004358C8">
        <w:rPr>
          <w:rFonts w:ascii="Arial" w:eastAsia="Times New Roman" w:hAnsi="Arial" w:cs="Arial"/>
        </w:rPr>
        <w:t>dell’Osservatorio Utilities</w:t>
      </w:r>
      <w:r w:rsidRPr="004358C8">
        <w:rPr>
          <w:rFonts w:ascii="Arial" w:hAnsi="Arial" w:cs="Arial"/>
        </w:rPr>
        <w:t xml:space="preserve"> Agici - Accenture, </w:t>
      </w:r>
      <w:r w:rsidR="001A523C" w:rsidRPr="004358C8">
        <w:rPr>
          <w:rFonts w:ascii="Arial" w:hAnsi="Arial" w:cs="Arial"/>
        </w:rPr>
        <w:t>r</w:t>
      </w:r>
      <w:r w:rsidRPr="004358C8">
        <w:rPr>
          <w:rFonts w:ascii="Arial" w:hAnsi="Arial" w:cs="Arial"/>
        </w:rPr>
        <w:t xml:space="preserve">aggiungendo l’obiettivo di </w:t>
      </w:r>
      <w:r w:rsidRPr="004358C8">
        <w:rPr>
          <w:rFonts w:ascii="Arial" w:hAnsi="Arial" w:cs="Arial"/>
          <w:b/>
          <w:bCs/>
        </w:rPr>
        <w:t>5GW di potenza installata</w:t>
      </w:r>
      <w:r w:rsidRPr="004358C8">
        <w:rPr>
          <w:rFonts w:ascii="Arial" w:hAnsi="Arial" w:cs="Arial"/>
        </w:rPr>
        <w:t xml:space="preserve"> con Comunità Energetiche e una produzione relativa di circa </w:t>
      </w:r>
      <w:r w:rsidRPr="004358C8">
        <w:rPr>
          <w:rFonts w:ascii="Arial" w:hAnsi="Arial" w:cs="Arial"/>
          <w:b/>
          <w:bCs/>
        </w:rPr>
        <w:t>6 TWh di energia elettrica</w:t>
      </w:r>
      <w:r w:rsidR="00505CC3" w:rsidRPr="004358C8">
        <w:rPr>
          <w:rFonts w:ascii="Arial" w:hAnsi="Arial" w:cs="Arial"/>
        </w:rPr>
        <w:t xml:space="preserve">, a fronte di un investimento previsto di circa 5-7 miliardi di euro, </w:t>
      </w:r>
      <w:r w:rsidRPr="004358C8">
        <w:rPr>
          <w:rFonts w:ascii="Arial" w:hAnsi="Arial" w:cs="Arial"/>
        </w:rPr>
        <w:t>si registrerebbero</w:t>
      </w:r>
      <w:r w:rsidRPr="004358C8">
        <w:rPr>
          <w:rFonts w:ascii="Arial" w:hAnsi="Arial" w:cs="Arial"/>
          <w:b/>
          <w:bCs/>
        </w:rPr>
        <w:t xml:space="preserve"> due fondamentali benefici: un risparmio di CO2 </w:t>
      </w:r>
      <w:r w:rsidR="00B12839" w:rsidRPr="004358C8">
        <w:rPr>
          <w:rFonts w:ascii="Arial" w:hAnsi="Arial" w:cs="Arial"/>
          <w:b/>
          <w:bCs/>
        </w:rPr>
        <w:t xml:space="preserve">pari a </w:t>
      </w:r>
      <w:r w:rsidR="008125C3" w:rsidRPr="004358C8">
        <w:rPr>
          <w:rFonts w:ascii="Arial" w:hAnsi="Arial" w:cs="Arial"/>
          <w:b/>
          <w:bCs/>
        </w:rPr>
        <w:t xml:space="preserve">1,35 M </w:t>
      </w:r>
      <w:r w:rsidR="00B12839" w:rsidRPr="004358C8">
        <w:rPr>
          <w:rFonts w:ascii="Arial" w:hAnsi="Arial" w:cs="Arial"/>
          <w:b/>
          <w:bCs/>
        </w:rPr>
        <w:t xml:space="preserve">tonnellate </w:t>
      </w:r>
      <w:r w:rsidR="008125C3" w:rsidRPr="004358C8">
        <w:rPr>
          <w:rFonts w:ascii="Arial" w:hAnsi="Arial" w:cs="Arial"/>
          <w:b/>
          <w:bCs/>
        </w:rPr>
        <w:t xml:space="preserve">e un </w:t>
      </w:r>
      <w:r w:rsidR="00B12839" w:rsidRPr="004358C8">
        <w:rPr>
          <w:rFonts w:ascii="Arial" w:hAnsi="Arial" w:cs="Arial"/>
          <w:b/>
          <w:bCs/>
        </w:rPr>
        <w:t xml:space="preserve">beneficio </w:t>
      </w:r>
      <w:r w:rsidR="008125C3" w:rsidRPr="004358C8">
        <w:rPr>
          <w:rFonts w:ascii="Arial" w:hAnsi="Arial" w:cs="Arial"/>
          <w:b/>
          <w:bCs/>
        </w:rPr>
        <w:t xml:space="preserve">economico </w:t>
      </w:r>
      <w:r w:rsidR="00B12839" w:rsidRPr="004358C8">
        <w:rPr>
          <w:rFonts w:ascii="Arial" w:hAnsi="Arial" w:cs="Arial"/>
          <w:b/>
          <w:bCs/>
        </w:rPr>
        <w:t>tra i 1,3 e 1,5 miliardi di euro</w:t>
      </w:r>
      <w:r w:rsidR="001A523C" w:rsidRPr="004358C8">
        <w:rPr>
          <w:rFonts w:ascii="Arial" w:hAnsi="Arial" w:cs="Arial"/>
          <w:b/>
          <w:bCs/>
        </w:rPr>
        <w:t>.</w:t>
      </w:r>
    </w:p>
    <w:p w14:paraId="7D537DBD" w14:textId="295156BE" w:rsidR="001A523C" w:rsidRPr="004358C8" w:rsidRDefault="001A523C" w:rsidP="00C71FC2">
      <w:pPr>
        <w:jc w:val="both"/>
        <w:rPr>
          <w:rFonts w:ascii="Arial" w:hAnsi="Arial" w:cs="Arial"/>
        </w:rPr>
      </w:pPr>
    </w:p>
    <w:p w14:paraId="079C62E3" w14:textId="25CCFD27" w:rsidR="009E6A10" w:rsidRPr="004358C8" w:rsidRDefault="00090F59" w:rsidP="00B2577E">
      <w:pPr>
        <w:jc w:val="both"/>
        <w:rPr>
          <w:rFonts w:ascii="Arial" w:hAnsi="Arial" w:cs="Arial"/>
        </w:rPr>
      </w:pPr>
      <w:r w:rsidRPr="004358C8">
        <w:rPr>
          <w:rFonts w:ascii="Arial" w:hAnsi="Arial" w:cs="Arial"/>
        </w:rPr>
        <w:t>Dal</w:t>
      </w:r>
      <w:r w:rsidR="00B63B23">
        <w:rPr>
          <w:rFonts w:ascii="Arial" w:hAnsi="Arial" w:cs="Arial"/>
        </w:rPr>
        <w:t>l’analisi</w:t>
      </w:r>
      <w:r w:rsidRPr="004358C8">
        <w:rPr>
          <w:rFonts w:ascii="Arial" w:hAnsi="Arial" w:cs="Arial"/>
        </w:rPr>
        <w:t xml:space="preserve"> </w:t>
      </w:r>
      <w:r w:rsidR="00B61939" w:rsidRPr="004358C8">
        <w:rPr>
          <w:rFonts w:ascii="Arial" w:hAnsi="Arial" w:cs="Arial"/>
        </w:rPr>
        <w:t>emerge</w:t>
      </w:r>
      <w:r w:rsidR="00B2577E" w:rsidRPr="004358C8">
        <w:rPr>
          <w:rFonts w:ascii="Arial" w:hAnsi="Arial" w:cs="Arial"/>
        </w:rPr>
        <w:t>,</w:t>
      </w:r>
      <w:r w:rsidR="00B61939" w:rsidRPr="004358C8">
        <w:rPr>
          <w:rFonts w:ascii="Arial" w:hAnsi="Arial" w:cs="Arial"/>
        </w:rPr>
        <w:t xml:space="preserve"> </w:t>
      </w:r>
      <w:r w:rsidR="00B2577E" w:rsidRPr="004358C8">
        <w:rPr>
          <w:rFonts w:ascii="Arial" w:hAnsi="Arial" w:cs="Arial"/>
        </w:rPr>
        <w:t>inoltre, che</w:t>
      </w:r>
      <w:r w:rsidR="00A315D0" w:rsidRPr="004358C8">
        <w:rPr>
          <w:rFonts w:ascii="Arial" w:hAnsi="Arial" w:cs="Arial"/>
        </w:rPr>
        <w:t xml:space="preserve"> </w:t>
      </w:r>
      <w:r w:rsidR="004E2293" w:rsidRPr="004358C8">
        <w:rPr>
          <w:rFonts w:ascii="Arial" w:hAnsi="Arial" w:cs="Arial"/>
        </w:rPr>
        <w:t>l’Italia è in “ritardo” rispetto all’Europa dove il mercato</w:t>
      </w:r>
      <w:r w:rsidR="000C4692" w:rsidRPr="004358C8">
        <w:rPr>
          <w:rFonts w:ascii="Arial" w:hAnsi="Arial" w:cs="Arial"/>
        </w:rPr>
        <w:t xml:space="preserve"> -</w:t>
      </w:r>
      <w:r w:rsidR="004E2293" w:rsidRPr="004358C8">
        <w:rPr>
          <w:rFonts w:ascii="Arial" w:hAnsi="Arial" w:cs="Arial"/>
        </w:rPr>
        <w:t xml:space="preserve"> seppur frammentato</w:t>
      </w:r>
      <w:r w:rsidR="000C4692" w:rsidRPr="004358C8">
        <w:rPr>
          <w:rFonts w:ascii="Arial" w:hAnsi="Arial" w:cs="Arial"/>
        </w:rPr>
        <w:t xml:space="preserve"> -</w:t>
      </w:r>
      <w:r w:rsidR="004E2293" w:rsidRPr="004358C8">
        <w:rPr>
          <w:rFonts w:ascii="Arial" w:hAnsi="Arial" w:cs="Arial"/>
        </w:rPr>
        <w:t xml:space="preserve"> </w:t>
      </w:r>
      <w:r w:rsidR="009E6A10" w:rsidRPr="004358C8">
        <w:rPr>
          <w:rFonts w:ascii="Arial" w:hAnsi="Arial" w:cs="Arial"/>
        </w:rPr>
        <w:t xml:space="preserve">presenta già circa 9.000 comunità energetiche con Germania e Danimarca considerati pionieri nel settore. </w:t>
      </w:r>
    </w:p>
    <w:p w14:paraId="2146A12B" w14:textId="7085C545" w:rsidR="00B61939" w:rsidRPr="004358C8" w:rsidRDefault="009E6A10" w:rsidP="00B61939">
      <w:pPr>
        <w:rPr>
          <w:rFonts w:ascii="Arial" w:hAnsi="Arial" w:cs="Arial"/>
        </w:rPr>
      </w:pPr>
      <w:r w:rsidRPr="004358C8">
        <w:rPr>
          <w:rFonts w:ascii="Arial" w:hAnsi="Arial" w:cs="Arial"/>
        </w:rPr>
        <w:t xml:space="preserve">In Italia, infatti, vi sono attualmente 86 comunità energetiche, di cui solo 30 già attive, con una potenza totale installata di </w:t>
      </w:r>
      <w:r w:rsidR="00C15AA8" w:rsidRPr="004358C8">
        <w:rPr>
          <w:rFonts w:ascii="Arial" w:hAnsi="Arial" w:cs="Arial"/>
        </w:rPr>
        <w:t>circa</w:t>
      </w:r>
      <w:r w:rsidRPr="004358C8">
        <w:rPr>
          <w:rFonts w:ascii="Arial" w:hAnsi="Arial" w:cs="Arial"/>
        </w:rPr>
        <w:t xml:space="preserve"> 60MW e modelli di business poco scalabili e principalmente nella forma di: autoconsumo collettivo, modello collettivo e modello municipale.</w:t>
      </w:r>
    </w:p>
    <w:p w14:paraId="09F393BC" w14:textId="77777777" w:rsidR="00303590" w:rsidRPr="004358C8" w:rsidRDefault="00303590" w:rsidP="00C71FC2">
      <w:pPr>
        <w:spacing w:after="160"/>
        <w:jc w:val="both"/>
        <w:rPr>
          <w:rFonts w:ascii="Arial" w:hAnsi="Arial" w:cs="Arial"/>
        </w:rPr>
      </w:pPr>
    </w:p>
    <w:p w14:paraId="45B561DF" w14:textId="698D1D8D" w:rsidR="001C1FFD" w:rsidRPr="004358C8" w:rsidRDefault="001C1FFD" w:rsidP="00C71FC2">
      <w:pPr>
        <w:jc w:val="both"/>
        <w:rPr>
          <w:rFonts w:ascii="Arial" w:hAnsi="Arial" w:cs="Arial"/>
          <w:b/>
          <w:bCs/>
        </w:rPr>
      </w:pPr>
      <w:r w:rsidRPr="004358C8">
        <w:rPr>
          <w:rFonts w:ascii="Arial" w:hAnsi="Arial" w:cs="Arial"/>
          <w:b/>
          <w:bCs/>
        </w:rPr>
        <w:t xml:space="preserve">MA COSA SI INTENDE PER COMUNITÀ ENERGETICA E </w:t>
      </w:r>
      <w:r w:rsidR="002E51E5" w:rsidRPr="004358C8">
        <w:rPr>
          <w:rFonts w:ascii="Arial" w:hAnsi="Arial" w:cs="Arial"/>
          <w:b/>
          <w:bCs/>
        </w:rPr>
        <w:t>QUALI</w:t>
      </w:r>
      <w:r w:rsidR="00796AC6" w:rsidRPr="004358C8">
        <w:rPr>
          <w:rFonts w:ascii="Arial" w:hAnsi="Arial" w:cs="Arial"/>
          <w:b/>
          <w:bCs/>
        </w:rPr>
        <w:t xml:space="preserve"> </w:t>
      </w:r>
      <w:r w:rsidR="00FB653D" w:rsidRPr="004358C8">
        <w:rPr>
          <w:rFonts w:ascii="Arial" w:hAnsi="Arial" w:cs="Arial"/>
          <w:b/>
          <w:bCs/>
        </w:rPr>
        <w:t xml:space="preserve">SONO I </w:t>
      </w:r>
      <w:r w:rsidR="00796AC6" w:rsidRPr="004358C8">
        <w:rPr>
          <w:rFonts w:ascii="Arial" w:hAnsi="Arial" w:cs="Arial"/>
          <w:b/>
          <w:bCs/>
        </w:rPr>
        <w:t>PRINCIPALI</w:t>
      </w:r>
      <w:r w:rsidR="002E51E5" w:rsidRPr="004358C8">
        <w:rPr>
          <w:rFonts w:ascii="Arial" w:hAnsi="Arial" w:cs="Arial"/>
          <w:b/>
          <w:bCs/>
        </w:rPr>
        <w:t xml:space="preserve"> </w:t>
      </w:r>
      <w:r w:rsidR="00EF2F2E" w:rsidRPr="004358C8">
        <w:rPr>
          <w:rFonts w:ascii="Arial" w:hAnsi="Arial" w:cs="Arial"/>
          <w:b/>
          <w:bCs/>
        </w:rPr>
        <w:t>MODELLI PREVISTI DALLA NORMATIVA</w:t>
      </w:r>
      <w:r w:rsidRPr="004358C8">
        <w:rPr>
          <w:rFonts w:ascii="Arial" w:hAnsi="Arial" w:cs="Arial"/>
          <w:b/>
          <w:bCs/>
        </w:rPr>
        <w:t xml:space="preserve"> IN ITALIA?</w:t>
      </w:r>
    </w:p>
    <w:p w14:paraId="3B33ED54" w14:textId="77777777" w:rsidR="00B4169D" w:rsidRPr="004358C8" w:rsidRDefault="00B4169D" w:rsidP="00C71FC2">
      <w:pPr>
        <w:jc w:val="both"/>
        <w:rPr>
          <w:rFonts w:ascii="Arial" w:hAnsi="Arial" w:cs="Arial"/>
          <w:b/>
          <w:bCs/>
        </w:rPr>
      </w:pPr>
    </w:p>
    <w:p w14:paraId="12203DE0" w14:textId="0CCE4C35" w:rsidR="001D446E" w:rsidRPr="004358C8" w:rsidRDefault="001D446E" w:rsidP="001D446E">
      <w:pPr>
        <w:rPr>
          <w:rFonts w:ascii="Arial" w:hAnsi="Arial" w:cs="Arial"/>
        </w:rPr>
      </w:pPr>
      <w:r w:rsidRPr="004358C8">
        <w:rPr>
          <w:rFonts w:ascii="Arial" w:hAnsi="Arial" w:cs="Arial"/>
        </w:rPr>
        <w:t xml:space="preserve">Quando si parla di comunità energetica si intende un’associazione di utenti, che siano enti pubblici locali, aziende, attività commerciali e/o cittadini privati, che collaborano per produrre, consumare, condividere e gestire l’energia prodotta da fonti rinnovabili attraverso uno o più impianti energetici installati nelle loro vicinanze. </w:t>
      </w:r>
    </w:p>
    <w:p w14:paraId="1C6D61F0" w14:textId="77777777" w:rsidR="00F837D5" w:rsidRPr="004358C8" w:rsidRDefault="00F837D5" w:rsidP="001D446E">
      <w:pPr>
        <w:rPr>
          <w:rFonts w:ascii="Arial" w:hAnsi="Arial" w:cs="Arial"/>
        </w:rPr>
      </w:pPr>
    </w:p>
    <w:p w14:paraId="059AE12A" w14:textId="2E7C2405" w:rsidR="00F837D5" w:rsidRPr="004358C8" w:rsidRDefault="00F837D5" w:rsidP="001D446E">
      <w:pPr>
        <w:rPr>
          <w:rFonts w:ascii="Arial" w:hAnsi="Arial" w:cs="Arial"/>
        </w:rPr>
      </w:pPr>
      <w:r w:rsidRPr="004358C8">
        <w:rPr>
          <w:rFonts w:ascii="Arial" w:hAnsi="Arial" w:cs="Arial"/>
        </w:rPr>
        <w:t>I principali modelli di comunità energetica previsti dalla normativa sono</w:t>
      </w:r>
      <w:r w:rsidR="00580D79" w:rsidRPr="004358C8">
        <w:rPr>
          <w:rFonts w:ascii="Arial" w:hAnsi="Arial" w:cs="Arial"/>
        </w:rPr>
        <w:t>:</w:t>
      </w:r>
    </w:p>
    <w:p w14:paraId="614E3B1C" w14:textId="77777777" w:rsidR="0010342B" w:rsidRPr="004358C8" w:rsidRDefault="0010342B" w:rsidP="001D446E">
      <w:pPr>
        <w:rPr>
          <w:rFonts w:ascii="Arial" w:hAnsi="Arial" w:cs="Arial"/>
        </w:rPr>
      </w:pPr>
    </w:p>
    <w:p w14:paraId="79F282AD" w14:textId="485F7744" w:rsidR="001D446E" w:rsidRPr="004358C8" w:rsidRDefault="001D446E" w:rsidP="001D446E">
      <w:pPr>
        <w:pStyle w:val="Paragrafoelenco"/>
        <w:numPr>
          <w:ilvl w:val="0"/>
          <w:numId w:val="15"/>
        </w:numPr>
        <w:rPr>
          <w:rFonts w:ascii="Arial" w:hAnsi="Arial" w:cs="Arial"/>
        </w:rPr>
      </w:pPr>
      <w:r w:rsidRPr="004358C8">
        <w:rPr>
          <w:rFonts w:ascii="Arial" w:hAnsi="Arial" w:cs="Arial"/>
          <w:b/>
          <w:bCs/>
        </w:rPr>
        <w:t xml:space="preserve">Autoconsumo Collettivo </w:t>
      </w:r>
      <w:r w:rsidRPr="004358C8">
        <w:rPr>
          <w:rFonts w:ascii="Arial" w:hAnsi="Arial" w:cs="Arial"/>
        </w:rPr>
        <w:t>(AUC), dove due o più clienti finali, residenti nello stesso condominio, producono energia elettrica rinnovabile per il proprio consumo, immagazzinamento e rivendita.</w:t>
      </w:r>
    </w:p>
    <w:p w14:paraId="678C31EA" w14:textId="5D65DF06" w:rsidR="001D446E" w:rsidRPr="004358C8" w:rsidRDefault="001D446E" w:rsidP="001D446E">
      <w:pPr>
        <w:pStyle w:val="Paragrafoelenco"/>
        <w:numPr>
          <w:ilvl w:val="0"/>
          <w:numId w:val="15"/>
        </w:numPr>
        <w:rPr>
          <w:rFonts w:ascii="Arial" w:hAnsi="Arial" w:cs="Arial"/>
        </w:rPr>
      </w:pPr>
      <w:r w:rsidRPr="004358C8">
        <w:rPr>
          <w:rFonts w:ascii="Arial" w:hAnsi="Arial" w:cs="Arial"/>
          <w:b/>
          <w:bCs/>
        </w:rPr>
        <w:t>Comunità Energetica Rinnovabile</w:t>
      </w:r>
      <w:r w:rsidRPr="004358C8">
        <w:rPr>
          <w:rFonts w:ascii="Arial" w:hAnsi="Arial" w:cs="Arial"/>
        </w:rPr>
        <w:t xml:space="preserve"> (CER</w:t>
      </w:r>
      <w:r w:rsidRPr="004358C8">
        <w:rPr>
          <w:rFonts w:ascii="Arial" w:hAnsi="Arial" w:cs="Arial"/>
          <w:highlight w:val="lightGray"/>
        </w:rPr>
        <w:t>)</w:t>
      </w:r>
      <w:r w:rsidRPr="004358C8">
        <w:rPr>
          <w:rFonts w:ascii="Arial" w:hAnsi="Arial" w:cs="Arial"/>
        </w:rPr>
        <w:t xml:space="preserve"> che coinvolge invece persone fisiche, autorità locali e PMI, unite con lo stesso obiettivo della forma precedente e che si </w:t>
      </w:r>
      <w:r w:rsidRPr="004358C8">
        <w:rPr>
          <w:rFonts w:ascii="Arial" w:hAnsi="Arial" w:cs="Arial"/>
          <w:b/>
          <w:bCs/>
        </w:rPr>
        <w:t xml:space="preserve">costituiscono come soggetto giuridico basato sulla partecipazione aperta e volontaria </w:t>
      </w:r>
      <w:r w:rsidRPr="004358C8">
        <w:rPr>
          <w:rFonts w:ascii="Arial" w:hAnsi="Arial" w:cs="Arial"/>
        </w:rPr>
        <w:t xml:space="preserve">degli iscritti. </w:t>
      </w:r>
    </w:p>
    <w:p w14:paraId="0863BCA5" w14:textId="77777777" w:rsidR="001D446E" w:rsidRPr="004358C8" w:rsidRDefault="001D446E" w:rsidP="001D446E">
      <w:pPr>
        <w:rPr>
          <w:rFonts w:ascii="Arial" w:hAnsi="Arial" w:cs="Arial"/>
        </w:rPr>
      </w:pPr>
    </w:p>
    <w:p w14:paraId="7548C939" w14:textId="3C554F9C" w:rsidR="001D446E" w:rsidRPr="004358C8" w:rsidRDefault="001D446E" w:rsidP="001D446E">
      <w:pPr>
        <w:rPr>
          <w:rFonts w:ascii="Arial" w:hAnsi="Arial" w:cs="Arial"/>
        </w:rPr>
      </w:pPr>
      <w:r w:rsidRPr="004358C8">
        <w:rPr>
          <w:rFonts w:ascii="Arial" w:hAnsi="Arial" w:cs="Arial"/>
        </w:rPr>
        <w:t xml:space="preserve">Gli </w:t>
      </w:r>
      <w:r w:rsidRPr="004358C8">
        <w:rPr>
          <w:rFonts w:ascii="Arial" w:hAnsi="Arial" w:cs="Arial"/>
          <w:b/>
          <w:bCs/>
        </w:rPr>
        <w:t>obiettivi</w:t>
      </w:r>
      <w:r w:rsidRPr="004358C8">
        <w:rPr>
          <w:rFonts w:ascii="Arial" w:hAnsi="Arial" w:cs="Arial"/>
        </w:rPr>
        <w:t xml:space="preserve"> sono quelli di: </w:t>
      </w:r>
    </w:p>
    <w:p w14:paraId="2FDBF441" w14:textId="77777777" w:rsidR="00BE1EC2" w:rsidRPr="004358C8" w:rsidRDefault="00BE1EC2" w:rsidP="001D446E">
      <w:pPr>
        <w:rPr>
          <w:rFonts w:ascii="Arial" w:hAnsi="Arial" w:cs="Arial"/>
        </w:rPr>
      </w:pPr>
    </w:p>
    <w:p w14:paraId="045C9442" w14:textId="77777777" w:rsidR="001D446E" w:rsidRPr="004358C8" w:rsidRDefault="001D446E" w:rsidP="001D446E">
      <w:pPr>
        <w:pStyle w:val="Paragrafoelenco"/>
        <w:numPr>
          <w:ilvl w:val="0"/>
          <w:numId w:val="16"/>
        </w:numPr>
        <w:rPr>
          <w:rFonts w:ascii="Arial" w:hAnsi="Arial" w:cs="Arial"/>
          <w:b/>
          <w:bCs/>
        </w:rPr>
      </w:pPr>
      <w:r w:rsidRPr="004358C8">
        <w:rPr>
          <w:rFonts w:ascii="Arial" w:hAnsi="Arial" w:cs="Arial"/>
          <w:b/>
          <w:bCs/>
        </w:rPr>
        <w:t>Favorire la partecipazione attiva dei cittadini al sistema energetico</w:t>
      </w:r>
    </w:p>
    <w:p w14:paraId="6EB067E3" w14:textId="77777777" w:rsidR="001D446E" w:rsidRPr="004358C8" w:rsidRDefault="001D446E" w:rsidP="001D446E">
      <w:pPr>
        <w:pStyle w:val="Paragrafoelenco"/>
        <w:numPr>
          <w:ilvl w:val="0"/>
          <w:numId w:val="16"/>
        </w:numPr>
        <w:rPr>
          <w:rFonts w:ascii="Arial" w:hAnsi="Arial" w:cs="Arial"/>
        </w:rPr>
      </w:pPr>
      <w:r w:rsidRPr="004358C8">
        <w:rPr>
          <w:rFonts w:ascii="Arial" w:hAnsi="Arial" w:cs="Arial"/>
        </w:rPr>
        <w:t xml:space="preserve">Promuovere la generazione distribuita e </w:t>
      </w:r>
      <w:r w:rsidRPr="004358C8">
        <w:rPr>
          <w:rFonts w:ascii="Arial" w:hAnsi="Arial" w:cs="Arial"/>
          <w:b/>
          <w:bCs/>
        </w:rPr>
        <w:t>facilitare la transizione verso fonti rinnovabili</w:t>
      </w:r>
    </w:p>
    <w:p w14:paraId="008E6D59" w14:textId="77777777" w:rsidR="001D446E" w:rsidRPr="004358C8" w:rsidRDefault="001D446E" w:rsidP="001D446E">
      <w:pPr>
        <w:pStyle w:val="Paragrafoelenco"/>
        <w:numPr>
          <w:ilvl w:val="0"/>
          <w:numId w:val="16"/>
        </w:numPr>
        <w:rPr>
          <w:rFonts w:ascii="Arial" w:hAnsi="Arial" w:cs="Arial"/>
          <w:b/>
          <w:bCs/>
        </w:rPr>
      </w:pPr>
      <w:r w:rsidRPr="004358C8">
        <w:rPr>
          <w:rFonts w:ascii="Arial" w:hAnsi="Arial" w:cs="Arial"/>
          <w:b/>
          <w:bCs/>
        </w:rPr>
        <w:t>Ridurre la dipendenza degli utenti dal sistema elettrico nazionale.</w:t>
      </w:r>
    </w:p>
    <w:p w14:paraId="1F549433" w14:textId="5CCD67DE" w:rsidR="008D6992" w:rsidRPr="004358C8" w:rsidRDefault="008D6992" w:rsidP="00C71FC2">
      <w:pPr>
        <w:jc w:val="both"/>
        <w:rPr>
          <w:rFonts w:ascii="Arial" w:hAnsi="Arial" w:cs="Arial"/>
        </w:rPr>
      </w:pPr>
    </w:p>
    <w:p w14:paraId="1A790913" w14:textId="77777777" w:rsidR="00497811" w:rsidRDefault="00497811" w:rsidP="00C71FC2">
      <w:pPr>
        <w:jc w:val="both"/>
        <w:rPr>
          <w:rFonts w:ascii="Arial" w:hAnsi="Arial" w:cs="Arial"/>
          <w:b/>
          <w:bCs/>
        </w:rPr>
      </w:pPr>
    </w:p>
    <w:p w14:paraId="7A4E8667" w14:textId="5E987979" w:rsidR="001664B0" w:rsidRPr="004358C8" w:rsidRDefault="0091547F" w:rsidP="00C71FC2">
      <w:pPr>
        <w:jc w:val="both"/>
        <w:rPr>
          <w:rFonts w:ascii="Arial" w:hAnsi="Arial" w:cs="Arial"/>
          <w:b/>
          <w:bCs/>
        </w:rPr>
      </w:pPr>
      <w:r w:rsidRPr="004358C8">
        <w:rPr>
          <w:rFonts w:ascii="Arial" w:hAnsi="Arial" w:cs="Arial"/>
          <w:b/>
          <w:bCs/>
        </w:rPr>
        <w:t xml:space="preserve">QUALE SITUAZIONE NEL </w:t>
      </w:r>
      <w:r w:rsidR="001664B0" w:rsidRPr="004358C8">
        <w:rPr>
          <w:rFonts w:ascii="Arial" w:hAnsi="Arial" w:cs="Arial"/>
          <w:b/>
          <w:bCs/>
        </w:rPr>
        <w:t>CONTESTO EUROPEO</w:t>
      </w:r>
      <w:r w:rsidRPr="004358C8">
        <w:rPr>
          <w:rFonts w:ascii="Arial" w:hAnsi="Arial" w:cs="Arial"/>
          <w:b/>
          <w:bCs/>
        </w:rPr>
        <w:t>?</w:t>
      </w:r>
    </w:p>
    <w:p w14:paraId="01D2AD6A" w14:textId="77777777" w:rsidR="00497811" w:rsidRDefault="00497811" w:rsidP="00C71FC2">
      <w:pPr>
        <w:jc w:val="both"/>
        <w:rPr>
          <w:rFonts w:ascii="Arial" w:hAnsi="Arial" w:cs="Arial"/>
        </w:rPr>
      </w:pPr>
    </w:p>
    <w:p w14:paraId="0F6107F4" w14:textId="3AC06440" w:rsidR="003B0AF7" w:rsidRPr="004358C8" w:rsidRDefault="005E4AD4" w:rsidP="00C71FC2">
      <w:pPr>
        <w:jc w:val="both"/>
        <w:rPr>
          <w:rFonts w:ascii="Arial" w:hAnsi="Arial" w:cs="Arial"/>
        </w:rPr>
      </w:pPr>
      <w:r w:rsidRPr="004358C8">
        <w:rPr>
          <w:rFonts w:ascii="Arial" w:hAnsi="Arial" w:cs="Arial"/>
        </w:rPr>
        <w:t xml:space="preserve">Nel 2019 la Commissione europea ha introdotto il </w:t>
      </w:r>
      <w:proofErr w:type="spellStart"/>
      <w:r w:rsidRPr="004358C8">
        <w:rPr>
          <w:rFonts w:ascii="Arial" w:hAnsi="Arial" w:cs="Arial"/>
          <w:i/>
          <w:iCs/>
        </w:rPr>
        <w:t>Clean</w:t>
      </w:r>
      <w:proofErr w:type="spellEnd"/>
      <w:r w:rsidRPr="004358C8">
        <w:rPr>
          <w:rFonts w:ascii="Arial" w:hAnsi="Arial" w:cs="Arial"/>
          <w:i/>
          <w:iCs/>
        </w:rPr>
        <w:t xml:space="preserve"> Energy for </w:t>
      </w:r>
      <w:proofErr w:type="spellStart"/>
      <w:r w:rsidRPr="004358C8">
        <w:rPr>
          <w:rFonts w:ascii="Arial" w:hAnsi="Arial" w:cs="Arial"/>
          <w:i/>
          <w:iCs/>
        </w:rPr>
        <w:t>All</w:t>
      </w:r>
      <w:proofErr w:type="spellEnd"/>
      <w:r w:rsidRPr="004358C8">
        <w:rPr>
          <w:rFonts w:ascii="Arial" w:hAnsi="Arial" w:cs="Arial"/>
          <w:i/>
          <w:iCs/>
        </w:rPr>
        <w:t xml:space="preserve"> </w:t>
      </w:r>
      <w:proofErr w:type="spellStart"/>
      <w:r w:rsidRPr="004358C8">
        <w:rPr>
          <w:rFonts w:ascii="Arial" w:hAnsi="Arial" w:cs="Arial"/>
          <w:i/>
          <w:iCs/>
        </w:rPr>
        <w:t>Europeans</w:t>
      </w:r>
      <w:proofErr w:type="spellEnd"/>
      <w:r w:rsidRPr="004358C8">
        <w:rPr>
          <w:rFonts w:ascii="Arial" w:hAnsi="Arial" w:cs="Arial"/>
          <w:i/>
          <w:iCs/>
        </w:rPr>
        <w:t xml:space="preserve"> package</w:t>
      </w:r>
      <w:r w:rsidRPr="004358C8">
        <w:rPr>
          <w:rFonts w:ascii="Arial" w:hAnsi="Arial" w:cs="Arial"/>
        </w:rPr>
        <w:t xml:space="preserve"> e </w:t>
      </w:r>
      <w:r w:rsidR="00132709" w:rsidRPr="004358C8">
        <w:rPr>
          <w:rFonts w:ascii="Arial" w:hAnsi="Arial" w:cs="Arial"/>
        </w:rPr>
        <w:t>la direttiva</w:t>
      </w:r>
      <w:r w:rsidRPr="004358C8">
        <w:rPr>
          <w:rFonts w:ascii="Arial" w:hAnsi="Arial" w:cs="Arial"/>
        </w:rPr>
        <w:t xml:space="preserve"> RED II, che disciplina e promuove l’autoconsumo collettivo (AUC) e le configurazioni di comunità energetiche rinnovabili (CER)</w:t>
      </w:r>
      <w:r w:rsidR="003B0AF7" w:rsidRPr="004358C8">
        <w:rPr>
          <w:rFonts w:ascii="Arial" w:hAnsi="Arial" w:cs="Arial"/>
        </w:rPr>
        <w:t xml:space="preserve">. </w:t>
      </w:r>
    </w:p>
    <w:p w14:paraId="6A6F4E5E" w14:textId="43618611" w:rsidR="005E4AD4" w:rsidRPr="004358C8" w:rsidRDefault="003B0AF7" w:rsidP="00C71FC2">
      <w:pPr>
        <w:jc w:val="both"/>
        <w:rPr>
          <w:rFonts w:ascii="Arial" w:hAnsi="Arial" w:cs="Arial"/>
        </w:rPr>
      </w:pPr>
      <w:r w:rsidRPr="004358C8">
        <w:rPr>
          <w:rFonts w:ascii="Arial" w:hAnsi="Arial" w:cs="Arial"/>
        </w:rPr>
        <w:t xml:space="preserve">Il </w:t>
      </w:r>
      <w:r w:rsidR="005E4AD4" w:rsidRPr="004358C8">
        <w:rPr>
          <w:rFonts w:ascii="Arial" w:hAnsi="Arial" w:cs="Arial"/>
        </w:rPr>
        <w:t xml:space="preserve">suo recepimento rappresenta una forte spinta allo sviluppo delle rinnovabili per il raggiungimento dell’obiettivo del </w:t>
      </w:r>
      <w:r w:rsidR="005E4AD4" w:rsidRPr="004358C8">
        <w:rPr>
          <w:rFonts w:ascii="Arial" w:hAnsi="Arial" w:cs="Arial"/>
          <w:b/>
          <w:bCs/>
        </w:rPr>
        <w:t>32% di consumo energetico da fonti rinnovabili entro il 2030</w:t>
      </w:r>
      <w:r w:rsidR="005E4AD4" w:rsidRPr="004358C8">
        <w:rPr>
          <w:rFonts w:ascii="Arial" w:hAnsi="Arial" w:cs="Arial"/>
        </w:rPr>
        <w:t>.</w:t>
      </w:r>
    </w:p>
    <w:p w14:paraId="78FBCCDC" w14:textId="6BB34E4C" w:rsidR="005E4AD4" w:rsidRPr="004358C8" w:rsidRDefault="003B0AF7" w:rsidP="00C71FC2">
      <w:pPr>
        <w:jc w:val="both"/>
        <w:rPr>
          <w:rFonts w:ascii="Arial" w:hAnsi="Arial" w:cs="Arial"/>
        </w:rPr>
      </w:pPr>
      <w:r w:rsidRPr="004358C8">
        <w:rPr>
          <w:rFonts w:ascii="Arial" w:hAnsi="Arial" w:cs="Arial"/>
        </w:rPr>
        <w:t>Parliamo</w:t>
      </w:r>
      <w:r w:rsidR="00E13177" w:rsidRPr="004358C8">
        <w:rPr>
          <w:rFonts w:ascii="Arial" w:hAnsi="Arial" w:cs="Arial"/>
        </w:rPr>
        <w:t>,</w:t>
      </w:r>
      <w:r w:rsidRPr="004358C8">
        <w:rPr>
          <w:rFonts w:ascii="Arial" w:hAnsi="Arial" w:cs="Arial"/>
        </w:rPr>
        <w:t xml:space="preserve"> però</w:t>
      </w:r>
      <w:r w:rsidR="00E13177" w:rsidRPr="004358C8">
        <w:rPr>
          <w:rFonts w:ascii="Arial" w:hAnsi="Arial" w:cs="Arial"/>
        </w:rPr>
        <w:t>,</w:t>
      </w:r>
      <w:r w:rsidRPr="004358C8">
        <w:rPr>
          <w:rFonts w:ascii="Arial" w:hAnsi="Arial" w:cs="Arial"/>
        </w:rPr>
        <w:t xml:space="preserve"> ancora di un mercato di nicchia: a</w:t>
      </w:r>
      <w:r w:rsidR="005E4AD4" w:rsidRPr="004358C8">
        <w:rPr>
          <w:rFonts w:ascii="Arial" w:hAnsi="Arial" w:cs="Arial"/>
        </w:rPr>
        <w:t xml:space="preserve">ttualmente </w:t>
      </w:r>
      <w:r w:rsidR="005E4AD4" w:rsidRPr="004358C8">
        <w:rPr>
          <w:rFonts w:ascii="Arial" w:hAnsi="Arial" w:cs="Arial"/>
          <w:b/>
          <w:bCs/>
        </w:rPr>
        <w:t>in tutta l’UE</w:t>
      </w:r>
      <w:r w:rsidR="005E4AD4" w:rsidRPr="004358C8">
        <w:rPr>
          <w:rFonts w:ascii="Arial" w:hAnsi="Arial" w:cs="Arial"/>
        </w:rPr>
        <w:t xml:space="preserve"> si contano</w:t>
      </w:r>
      <w:r w:rsidRPr="004358C8">
        <w:rPr>
          <w:rFonts w:ascii="Arial" w:hAnsi="Arial" w:cs="Arial"/>
        </w:rPr>
        <w:t xml:space="preserve"> infatti</w:t>
      </w:r>
      <w:r w:rsidR="005E4AD4" w:rsidRPr="004358C8">
        <w:rPr>
          <w:rFonts w:ascii="Arial" w:hAnsi="Arial" w:cs="Arial"/>
        </w:rPr>
        <w:t xml:space="preserve"> </w:t>
      </w:r>
      <w:r w:rsidR="005E4AD4" w:rsidRPr="004358C8">
        <w:rPr>
          <w:rFonts w:ascii="Arial" w:hAnsi="Arial" w:cs="Arial"/>
          <w:b/>
          <w:bCs/>
        </w:rPr>
        <w:t xml:space="preserve">solo 9.000 comunità </w:t>
      </w:r>
      <w:r w:rsidR="00E13177" w:rsidRPr="004358C8">
        <w:rPr>
          <w:rFonts w:ascii="Arial" w:hAnsi="Arial" w:cs="Arial"/>
          <w:b/>
          <w:bCs/>
        </w:rPr>
        <w:t>energetiche</w:t>
      </w:r>
      <w:r w:rsidRPr="004358C8">
        <w:rPr>
          <w:rFonts w:ascii="Arial" w:hAnsi="Arial" w:cs="Arial"/>
        </w:rPr>
        <w:t>.</w:t>
      </w:r>
      <w:r w:rsidR="005E4AD4" w:rsidRPr="004358C8">
        <w:rPr>
          <w:rFonts w:ascii="Arial" w:hAnsi="Arial" w:cs="Arial"/>
        </w:rPr>
        <w:t xml:space="preserve"> </w:t>
      </w:r>
    </w:p>
    <w:p w14:paraId="7276910F" w14:textId="085D4F94" w:rsidR="003B0AF7" w:rsidRPr="004358C8" w:rsidRDefault="003B0AF7" w:rsidP="00C71FC2">
      <w:pPr>
        <w:jc w:val="both"/>
        <w:rPr>
          <w:rFonts w:ascii="Arial" w:hAnsi="Arial" w:cs="Arial"/>
        </w:rPr>
      </w:pPr>
    </w:p>
    <w:p w14:paraId="6AFE974B" w14:textId="7641D4FF" w:rsidR="00E50056" w:rsidRPr="004358C8" w:rsidRDefault="003A0F0B" w:rsidP="00C71FC2">
      <w:pPr>
        <w:jc w:val="both"/>
        <w:rPr>
          <w:rFonts w:ascii="Arial" w:hAnsi="Arial" w:cs="Arial"/>
        </w:rPr>
      </w:pPr>
      <w:r w:rsidRPr="004358C8">
        <w:rPr>
          <w:rFonts w:ascii="Arial" w:hAnsi="Arial" w:cs="Arial"/>
        </w:rPr>
        <w:t xml:space="preserve">Come </w:t>
      </w:r>
      <w:r w:rsidR="005E4AD4" w:rsidRPr="004358C8">
        <w:rPr>
          <w:rFonts w:ascii="Arial" w:hAnsi="Arial" w:cs="Arial"/>
        </w:rPr>
        <w:t xml:space="preserve">modelli </w:t>
      </w:r>
      <w:r w:rsidRPr="004358C8">
        <w:rPr>
          <w:rFonts w:ascii="Arial" w:hAnsi="Arial" w:cs="Arial"/>
        </w:rPr>
        <w:t xml:space="preserve">di riferimento europei </w:t>
      </w:r>
      <w:r w:rsidR="005E4AD4" w:rsidRPr="004358C8">
        <w:rPr>
          <w:rFonts w:ascii="Arial" w:hAnsi="Arial" w:cs="Arial"/>
        </w:rPr>
        <w:t xml:space="preserve">sono stati studiati i mercati di </w:t>
      </w:r>
      <w:r w:rsidR="005E4AD4" w:rsidRPr="004358C8">
        <w:rPr>
          <w:rFonts w:ascii="Arial" w:hAnsi="Arial" w:cs="Arial"/>
          <w:b/>
          <w:bCs/>
        </w:rPr>
        <w:t>Germania e Danimarca</w:t>
      </w:r>
      <w:r w:rsidR="005E4AD4" w:rsidRPr="004358C8">
        <w:rPr>
          <w:rFonts w:ascii="Arial" w:hAnsi="Arial" w:cs="Arial"/>
        </w:rPr>
        <w:t xml:space="preserve">, </w:t>
      </w:r>
      <w:r w:rsidR="00670E36" w:rsidRPr="004358C8">
        <w:rPr>
          <w:rFonts w:ascii="Arial" w:hAnsi="Arial" w:cs="Arial"/>
        </w:rPr>
        <w:t>perché all’avanguardia in questo ambito</w:t>
      </w:r>
      <w:r w:rsidR="00721F1F" w:rsidRPr="004358C8">
        <w:rPr>
          <w:rFonts w:ascii="Arial" w:hAnsi="Arial" w:cs="Arial"/>
        </w:rPr>
        <w:t>,</w:t>
      </w:r>
      <w:r w:rsidR="00670E36" w:rsidRPr="004358C8">
        <w:rPr>
          <w:rFonts w:ascii="Arial" w:hAnsi="Arial" w:cs="Arial"/>
        </w:rPr>
        <w:t xml:space="preserve"> e </w:t>
      </w:r>
      <w:r w:rsidR="003B0AF7" w:rsidRPr="004358C8">
        <w:rPr>
          <w:rFonts w:ascii="Arial" w:hAnsi="Arial" w:cs="Arial"/>
        </w:rPr>
        <w:t xml:space="preserve">di </w:t>
      </w:r>
      <w:r w:rsidR="00670E36" w:rsidRPr="004358C8">
        <w:rPr>
          <w:rFonts w:ascii="Arial" w:hAnsi="Arial" w:cs="Arial"/>
          <w:b/>
          <w:bCs/>
        </w:rPr>
        <w:t>Francia e Spagna</w:t>
      </w:r>
      <w:r w:rsidR="003B0AF7" w:rsidRPr="004358C8">
        <w:rPr>
          <w:rFonts w:ascii="Arial" w:hAnsi="Arial" w:cs="Arial"/>
        </w:rPr>
        <w:t>,</w:t>
      </w:r>
      <w:r w:rsidR="00670E36" w:rsidRPr="004358C8">
        <w:rPr>
          <w:rFonts w:ascii="Arial" w:hAnsi="Arial" w:cs="Arial"/>
        </w:rPr>
        <w:t xml:space="preserve"> che risultano avere caratteristiche simili a quelle italiane</w:t>
      </w:r>
      <w:r w:rsidR="00312EAA" w:rsidRPr="004358C8">
        <w:rPr>
          <w:rFonts w:ascii="Arial" w:hAnsi="Arial" w:cs="Arial"/>
        </w:rPr>
        <w:t xml:space="preserve">, in termini di </w:t>
      </w:r>
      <w:r w:rsidR="00AC5F1C" w:rsidRPr="004358C8">
        <w:rPr>
          <w:rFonts w:ascii="Arial" w:hAnsi="Arial" w:cs="Arial"/>
        </w:rPr>
        <w:t>aggiornamento</w:t>
      </w:r>
      <w:r w:rsidR="00312EAA" w:rsidRPr="004358C8">
        <w:rPr>
          <w:rFonts w:ascii="Arial" w:hAnsi="Arial" w:cs="Arial"/>
        </w:rPr>
        <w:t xml:space="preserve"> del quadro normativo e di comunità sviluppate. </w:t>
      </w:r>
    </w:p>
    <w:p w14:paraId="6F79FE79" w14:textId="2AF75E74" w:rsidR="00E50056" w:rsidRPr="004358C8" w:rsidRDefault="00E50056" w:rsidP="00C71FC2">
      <w:pPr>
        <w:jc w:val="both"/>
        <w:rPr>
          <w:rFonts w:ascii="Arial" w:hAnsi="Arial" w:cs="Arial"/>
        </w:rPr>
      </w:pPr>
      <w:r w:rsidRPr="004358C8">
        <w:rPr>
          <w:rFonts w:ascii="Arial" w:hAnsi="Arial" w:cs="Arial"/>
        </w:rPr>
        <w:t>Dall’analisi del contesto europeo emergono alcuni elementi chiave per il successo e la scalabilità delle comunità energetiche:</w:t>
      </w:r>
    </w:p>
    <w:p w14:paraId="6EEF51F1" w14:textId="77777777" w:rsidR="00BF38B5" w:rsidRPr="004358C8" w:rsidRDefault="00BF38B5" w:rsidP="00C71FC2">
      <w:pPr>
        <w:jc w:val="both"/>
        <w:rPr>
          <w:rFonts w:ascii="Arial" w:hAnsi="Arial" w:cs="Arial"/>
        </w:rPr>
      </w:pPr>
    </w:p>
    <w:p w14:paraId="31518349" w14:textId="35136675" w:rsidR="00E50056" w:rsidRPr="004358C8" w:rsidRDefault="003B0AF7" w:rsidP="00C71FC2">
      <w:pPr>
        <w:pStyle w:val="Paragrafoelenco"/>
        <w:numPr>
          <w:ilvl w:val="0"/>
          <w:numId w:val="2"/>
        </w:numPr>
        <w:jc w:val="both"/>
        <w:rPr>
          <w:rFonts w:ascii="Arial" w:hAnsi="Arial" w:cs="Arial"/>
        </w:rPr>
      </w:pPr>
      <w:r w:rsidRPr="004358C8">
        <w:rPr>
          <w:rFonts w:ascii="Arial" w:hAnsi="Arial" w:cs="Arial"/>
        </w:rPr>
        <w:t xml:space="preserve">La </w:t>
      </w:r>
      <w:r w:rsidRPr="004358C8">
        <w:rPr>
          <w:rFonts w:ascii="Arial" w:hAnsi="Arial" w:cs="Arial"/>
          <w:b/>
          <w:bCs/>
        </w:rPr>
        <w:t>n</w:t>
      </w:r>
      <w:r w:rsidR="00E50056" w:rsidRPr="004358C8">
        <w:rPr>
          <w:rFonts w:ascii="Arial" w:hAnsi="Arial" w:cs="Arial"/>
          <w:b/>
          <w:bCs/>
        </w:rPr>
        <w:t>ormativa</w:t>
      </w:r>
      <w:r w:rsidR="00E50056" w:rsidRPr="004358C8">
        <w:rPr>
          <w:rFonts w:ascii="Arial" w:hAnsi="Arial" w:cs="Arial"/>
        </w:rPr>
        <w:t xml:space="preserve"> sulle comunità energetiche </w:t>
      </w:r>
      <w:r w:rsidRPr="004358C8">
        <w:rPr>
          <w:rFonts w:ascii="Arial" w:hAnsi="Arial" w:cs="Arial"/>
        </w:rPr>
        <w:t xml:space="preserve">deve essere </w:t>
      </w:r>
      <w:r w:rsidR="00E50056" w:rsidRPr="004358C8">
        <w:rPr>
          <w:rFonts w:ascii="Arial" w:hAnsi="Arial" w:cs="Arial"/>
          <w:b/>
          <w:bCs/>
        </w:rPr>
        <w:t>chiara</w:t>
      </w:r>
      <w:r w:rsidR="00E50056" w:rsidRPr="004358C8">
        <w:rPr>
          <w:rFonts w:ascii="Arial" w:hAnsi="Arial" w:cs="Arial"/>
        </w:rPr>
        <w:t xml:space="preserve"> e con regole di accesso ben definite</w:t>
      </w:r>
      <w:r w:rsidR="0070028A" w:rsidRPr="004358C8">
        <w:rPr>
          <w:rFonts w:ascii="Arial" w:hAnsi="Arial" w:cs="Arial"/>
        </w:rPr>
        <w:t xml:space="preserve">, che possano incentivare il coinvolgimento dei cittadini </w:t>
      </w:r>
      <w:r w:rsidR="00B8640B" w:rsidRPr="004358C8">
        <w:rPr>
          <w:rFonts w:ascii="Arial" w:hAnsi="Arial" w:cs="Arial"/>
        </w:rPr>
        <w:t xml:space="preserve">anche </w:t>
      </w:r>
      <w:r w:rsidR="0070028A" w:rsidRPr="004358C8">
        <w:rPr>
          <w:rFonts w:ascii="Arial" w:hAnsi="Arial" w:cs="Arial"/>
        </w:rPr>
        <w:t>grazie a</w:t>
      </w:r>
      <w:r w:rsidR="00B8640B" w:rsidRPr="004358C8">
        <w:rPr>
          <w:rFonts w:ascii="Arial" w:hAnsi="Arial" w:cs="Arial"/>
        </w:rPr>
        <w:t>i</w:t>
      </w:r>
      <w:r w:rsidR="0070028A" w:rsidRPr="004358C8">
        <w:rPr>
          <w:rFonts w:ascii="Arial" w:hAnsi="Arial" w:cs="Arial"/>
        </w:rPr>
        <w:t xml:space="preserve"> benefici </w:t>
      </w:r>
      <w:r w:rsidR="00B8640B" w:rsidRPr="004358C8">
        <w:rPr>
          <w:rFonts w:ascii="Arial" w:hAnsi="Arial" w:cs="Arial"/>
        </w:rPr>
        <w:t>economici disponibili</w:t>
      </w:r>
      <w:r w:rsidR="005A3F8B" w:rsidRPr="004358C8">
        <w:rPr>
          <w:rFonts w:ascii="Arial" w:hAnsi="Arial" w:cs="Arial"/>
        </w:rPr>
        <w:t>;</w:t>
      </w:r>
    </w:p>
    <w:p w14:paraId="1F6ECCB7" w14:textId="47C0F792" w:rsidR="00E50056" w:rsidRPr="004358C8" w:rsidRDefault="0070028A" w:rsidP="00C71FC2">
      <w:pPr>
        <w:pStyle w:val="Paragrafoelenco"/>
        <w:numPr>
          <w:ilvl w:val="0"/>
          <w:numId w:val="2"/>
        </w:numPr>
        <w:jc w:val="both"/>
        <w:rPr>
          <w:rFonts w:ascii="Arial" w:hAnsi="Arial" w:cs="Arial"/>
        </w:rPr>
      </w:pPr>
      <w:r w:rsidRPr="004358C8">
        <w:rPr>
          <w:rFonts w:ascii="Arial" w:hAnsi="Arial" w:cs="Arial"/>
        </w:rPr>
        <w:t xml:space="preserve">È indispensabile la </w:t>
      </w:r>
      <w:r w:rsidRPr="004358C8">
        <w:rPr>
          <w:rFonts w:ascii="Arial" w:hAnsi="Arial" w:cs="Arial"/>
          <w:b/>
          <w:bCs/>
        </w:rPr>
        <w:t>p</w:t>
      </w:r>
      <w:r w:rsidR="00E50056" w:rsidRPr="004358C8">
        <w:rPr>
          <w:rFonts w:ascii="Arial" w:hAnsi="Arial" w:cs="Arial"/>
          <w:b/>
          <w:bCs/>
        </w:rPr>
        <w:t xml:space="preserve">roattività ed autonomia </w:t>
      </w:r>
      <w:r w:rsidRPr="004358C8">
        <w:rPr>
          <w:rFonts w:ascii="Arial" w:hAnsi="Arial" w:cs="Arial"/>
          <w:b/>
          <w:bCs/>
        </w:rPr>
        <w:t>del</w:t>
      </w:r>
      <w:r w:rsidR="00E50056" w:rsidRPr="004358C8">
        <w:rPr>
          <w:rFonts w:ascii="Arial" w:hAnsi="Arial" w:cs="Arial"/>
          <w:b/>
          <w:bCs/>
        </w:rPr>
        <w:t>le istituzioni locali</w:t>
      </w:r>
      <w:r w:rsidR="005A3F8B" w:rsidRPr="004358C8">
        <w:rPr>
          <w:rFonts w:ascii="Arial" w:hAnsi="Arial" w:cs="Arial"/>
          <w:b/>
          <w:bCs/>
        </w:rPr>
        <w:t>;</w:t>
      </w:r>
    </w:p>
    <w:p w14:paraId="47ABBE46" w14:textId="10191311" w:rsidR="00E50056" w:rsidRPr="004358C8" w:rsidRDefault="0070028A" w:rsidP="00C71FC2">
      <w:pPr>
        <w:pStyle w:val="Paragrafoelenco"/>
        <w:numPr>
          <w:ilvl w:val="0"/>
          <w:numId w:val="2"/>
        </w:numPr>
        <w:jc w:val="both"/>
        <w:rPr>
          <w:rFonts w:ascii="Arial" w:hAnsi="Arial" w:cs="Arial"/>
        </w:rPr>
      </w:pPr>
      <w:r w:rsidRPr="004358C8">
        <w:rPr>
          <w:rFonts w:ascii="Arial" w:hAnsi="Arial" w:cs="Arial"/>
        </w:rPr>
        <w:t xml:space="preserve">I </w:t>
      </w:r>
      <w:r w:rsidRPr="004358C8">
        <w:rPr>
          <w:rFonts w:ascii="Arial" w:hAnsi="Arial" w:cs="Arial"/>
          <w:b/>
          <w:bCs/>
        </w:rPr>
        <w:t>player energetici</w:t>
      </w:r>
      <w:r w:rsidRPr="004358C8">
        <w:rPr>
          <w:rFonts w:ascii="Arial" w:hAnsi="Arial" w:cs="Arial"/>
        </w:rPr>
        <w:t xml:space="preserve"> devono partecipare</w:t>
      </w:r>
      <w:r w:rsidR="00E50056" w:rsidRPr="004358C8">
        <w:rPr>
          <w:rFonts w:ascii="Arial" w:hAnsi="Arial" w:cs="Arial"/>
        </w:rPr>
        <w:t xml:space="preserve"> </w:t>
      </w:r>
      <w:r w:rsidR="005A3F8B" w:rsidRPr="004358C8">
        <w:rPr>
          <w:rFonts w:ascii="Arial" w:hAnsi="Arial" w:cs="Arial"/>
        </w:rPr>
        <w:t>come promotori e/o membri</w:t>
      </w:r>
      <w:r w:rsidR="005A3F8B" w:rsidRPr="004358C8" w:rsidDel="005A3F8B">
        <w:rPr>
          <w:rFonts w:ascii="Arial" w:hAnsi="Arial" w:cs="Arial"/>
        </w:rPr>
        <w:t xml:space="preserve"> </w:t>
      </w:r>
      <w:r w:rsidR="00E50056" w:rsidRPr="004358C8">
        <w:rPr>
          <w:rFonts w:ascii="Arial" w:hAnsi="Arial" w:cs="Arial"/>
        </w:rPr>
        <w:t>delle comunità energetiche per una diffusione strutturata e su larga scala</w:t>
      </w:r>
      <w:r w:rsidR="005A3F8B" w:rsidRPr="004358C8">
        <w:rPr>
          <w:rFonts w:ascii="Arial" w:hAnsi="Arial" w:cs="Arial"/>
        </w:rPr>
        <w:t>.</w:t>
      </w:r>
    </w:p>
    <w:p w14:paraId="41C4ABF0" w14:textId="4878EBC6" w:rsidR="006607E1" w:rsidRPr="004358C8" w:rsidRDefault="006607E1" w:rsidP="00C71FC2">
      <w:pPr>
        <w:jc w:val="both"/>
        <w:rPr>
          <w:rFonts w:ascii="Arial" w:hAnsi="Arial" w:cs="Arial"/>
          <w:b/>
          <w:bCs/>
        </w:rPr>
      </w:pPr>
    </w:p>
    <w:p w14:paraId="61F9D8DA" w14:textId="77777777" w:rsidR="00826F16" w:rsidRPr="004358C8" w:rsidRDefault="00826F16" w:rsidP="00C71FC2">
      <w:pPr>
        <w:jc w:val="both"/>
        <w:rPr>
          <w:rFonts w:ascii="Arial" w:hAnsi="Arial" w:cs="Arial"/>
          <w:b/>
          <w:bCs/>
        </w:rPr>
      </w:pPr>
    </w:p>
    <w:p w14:paraId="19E5F165" w14:textId="1AE7EFF7" w:rsidR="00AC5F1C" w:rsidRPr="004358C8" w:rsidRDefault="00D7369C" w:rsidP="00C71FC2">
      <w:pPr>
        <w:jc w:val="both"/>
        <w:rPr>
          <w:rFonts w:ascii="Arial" w:hAnsi="Arial" w:cs="Arial"/>
          <w:b/>
          <w:bCs/>
        </w:rPr>
      </w:pPr>
      <w:r w:rsidRPr="004358C8">
        <w:rPr>
          <w:rFonts w:ascii="Arial" w:hAnsi="Arial" w:cs="Arial"/>
          <w:b/>
          <w:bCs/>
        </w:rPr>
        <w:t>IN QUESTO SCENARIO, QUAL</w:t>
      </w:r>
      <w:r w:rsidR="000D23FE" w:rsidRPr="004358C8">
        <w:rPr>
          <w:rFonts w:ascii="Arial" w:hAnsi="Arial" w:cs="Arial"/>
          <w:b/>
          <w:bCs/>
        </w:rPr>
        <w:t xml:space="preserve">E </w:t>
      </w:r>
      <w:r w:rsidR="00D9606D" w:rsidRPr="004358C8">
        <w:rPr>
          <w:rFonts w:ascii="Arial" w:hAnsi="Arial" w:cs="Arial"/>
          <w:b/>
          <w:bCs/>
        </w:rPr>
        <w:t>OPPORTUNITA’</w:t>
      </w:r>
      <w:r w:rsidR="000D23FE" w:rsidRPr="004358C8">
        <w:rPr>
          <w:rFonts w:ascii="Arial" w:hAnsi="Arial" w:cs="Arial"/>
          <w:b/>
          <w:bCs/>
        </w:rPr>
        <w:t xml:space="preserve"> PER L’ITALIA? </w:t>
      </w:r>
    </w:p>
    <w:p w14:paraId="0EECED5F" w14:textId="77777777" w:rsidR="008D6992" w:rsidRPr="004358C8" w:rsidRDefault="008D6992" w:rsidP="00C71FC2">
      <w:pPr>
        <w:jc w:val="both"/>
        <w:rPr>
          <w:rFonts w:ascii="Arial" w:hAnsi="Arial" w:cs="Arial"/>
          <w:b/>
          <w:bCs/>
          <w:sz w:val="24"/>
          <w:szCs w:val="24"/>
          <w:u w:val="single"/>
        </w:rPr>
      </w:pPr>
    </w:p>
    <w:p w14:paraId="4BA7D0B5" w14:textId="3CC3CBFE" w:rsidR="005D7124" w:rsidRPr="004358C8" w:rsidRDefault="0070028A" w:rsidP="00C71FC2">
      <w:pPr>
        <w:jc w:val="both"/>
        <w:rPr>
          <w:rFonts w:ascii="Arial" w:hAnsi="Arial" w:cs="Arial"/>
        </w:rPr>
      </w:pPr>
      <w:r w:rsidRPr="004358C8">
        <w:rPr>
          <w:rFonts w:ascii="Arial" w:hAnsi="Arial" w:cs="Arial"/>
        </w:rPr>
        <w:t>L’Italia si sta adeguando alla normativa europea per favorire lo sviluppo delle comunità energetiche e</w:t>
      </w:r>
      <w:r w:rsidR="00AC5F1C" w:rsidRPr="004358C8">
        <w:rPr>
          <w:rFonts w:ascii="Arial" w:hAnsi="Arial" w:cs="Arial"/>
        </w:rPr>
        <w:t>d</w:t>
      </w:r>
      <w:r w:rsidRPr="004358C8">
        <w:rPr>
          <w:rFonts w:ascii="Arial" w:hAnsi="Arial" w:cs="Arial"/>
        </w:rPr>
        <w:t xml:space="preserve"> </w:t>
      </w:r>
      <w:r w:rsidR="00165FC9" w:rsidRPr="004358C8">
        <w:rPr>
          <w:rFonts w:ascii="Arial" w:hAnsi="Arial" w:cs="Arial"/>
          <w:b/>
          <w:bCs/>
        </w:rPr>
        <w:t xml:space="preserve">entro il primo semestre del 2023 dovrebbe </w:t>
      </w:r>
      <w:r w:rsidR="00AC5F1C" w:rsidRPr="004358C8">
        <w:rPr>
          <w:rFonts w:ascii="Arial" w:hAnsi="Arial" w:cs="Arial"/>
          <w:b/>
          <w:bCs/>
        </w:rPr>
        <w:t>completare</w:t>
      </w:r>
      <w:r w:rsidRPr="004358C8">
        <w:rPr>
          <w:rFonts w:ascii="Arial" w:hAnsi="Arial" w:cs="Arial"/>
          <w:b/>
          <w:bCs/>
        </w:rPr>
        <w:t xml:space="preserve"> l’iter </w:t>
      </w:r>
      <w:r w:rsidR="005D7124" w:rsidRPr="004358C8">
        <w:rPr>
          <w:rFonts w:ascii="Arial" w:hAnsi="Arial" w:cs="Arial"/>
          <w:b/>
          <w:bCs/>
        </w:rPr>
        <w:t>di recepimento</w:t>
      </w:r>
      <w:r w:rsidR="00BA7851" w:rsidRPr="004358C8">
        <w:rPr>
          <w:rFonts w:ascii="Arial" w:hAnsi="Arial" w:cs="Arial"/>
          <w:b/>
          <w:bCs/>
        </w:rPr>
        <w:t xml:space="preserve"> dei decreti attuativi</w:t>
      </w:r>
      <w:r w:rsidR="005D7124" w:rsidRPr="004358C8">
        <w:rPr>
          <w:rFonts w:ascii="Arial" w:hAnsi="Arial" w:cs="Arial"/>
        </w:rPr>
        <w:t xml:space="preserve">, </w:t>
      </w:r>
      <w:r w:rsidR="002E11B6" w:rsidRPr="004358C8">
        <w:rPr>
          <w:rFonts w:ascii="Arial" w:hAnsi="Arial" w:cs="Arial"/>
        </w:rPr>
        <w:t xml:space="preserve">avviato nel febbraio 2020 </w:t>
      </w:r>
      <w:r w:rsidR="005D7124" w:rsidRPr="004358C8">
        <w:rPr>
          <w:rFonts w:ascii="Arial" w:hAnsi="Arial" w:cs="Arial"/>
        </w:rPr>
        <w:t xml:space="preserve">con la promulgazione del Decreto Milleproroghe. </w:t>
      </w:r>
    </w:p>
    <w:p w14:paraId="378431BE" w14:textId="5FFD8E26" w:rsidR="00F93664" w:rsidRPr="004358C8" w:rsidRDefault="00156708" w:rsidP="00C71FC2">
      <w:pPr>
        <w:jc w:val="both"/>
        <w:rPr>
          <w:rFonts w:ascii="Arial" w:hAnsi="Arial" w:cs="Arial"/>
        </w:rPr>
      </w:pPr>
      <w:r w:rsidRPr="004358C8">
        <w:rPr>
          <w:rFonts w:ascii="Arial" w:hAnsi="Arial" w:cs="Arial"/>
        </w:rPr>
        <w:t>L’ultima bozza di decreto attuativo pubblicato dal M</w:t>
      </w:r>
      <w:r w:rsidR="005D7124" w:rsidRPr="004358C8">
        <w:rPr>
          <w:rFonts w:ascii="Arial" w:hAnsi="Arial" w:cs="Arial"/>
        </w:rPr>
        <w:t>ASE</w:t>
      </w:r>
      <w:r w:rsidRPr="004358C8">
        <w:rPr>
          <w:rFonts w:ascii="Arial" w:hAnsi="Arial" w:cs="Arial"/>
        </w:rPr>
        <w:t xml:space="preserve"> </w:t>
      </w:r>
      <w:r w:rsidR="005D7124" w:rsidRPr="004358C8">
        <w:rPr>
          <w:rFonts w:ascii="Arial" w:hAnsi="Arial" w:cs="Arial"/>
        </w:rPr>
        <w:t xml:space="preserve">è stata </w:t>
      </w:r>
      <w:r w:rsidR="00165FC9" w:rsidRPr="004358C8">
        <w:rPr>
          <w:rFonts w:ascii="Arial" w:hAnsi="Arial" w:cs="Arial"/>
        </w:rPr>
        <w:t>inviata alla Commissione Europea per approvazione</w:t>
      </w:r>
      <w:r w:rsidR="0039046F" w:rsidRPr="004358C8">
        <w:rPr>
          <w:rFonts w:ascii="Arial" w:hAnsi="Arial" w:cs="Arial"/>
        </w:rPr>
        <w:t xml:space="preserve"> a febbraio 2023</w:t>
      </w:r>
      <w:r w:rsidR="00B04297" w:rsidRPr="004358C8">
        <w:rPr>
          <w:rFonts w:ascii="Arial" w:hAnsi="Arial" w:cs="Arial"/>
        </w:rPr>
        <w:t>. Tra i punti chiave, i</w:t>
      </w:r>
      <w:r w:rsidR="00165FC9" w:rsidRPr="004358C8">
        <w:rPr>
          <w:rFonts w:ascii="Arial" w:hAnsi="Arial" w:cs="Arial"/>
        </w:rPr>
        <w:t xml:space="preserve">l </w:t>
      </w:r>
      <w:r w:rsidR="0039046F" w:rsidRPr="004358C8">
        <w:rPr>
          <w:rFonts w:ascii="Arial" w:hAnsi="Arial" w:cs="Arial"/>
        </w:rPr>
        <w:t xml:space="preserve">decreto </w:t>
      </w:r>
      <w:r w:rsidR="00CC65F3" w:rsidRPr="004358C8">
        <w:rPr>
          <w:rFonts w:ascii="Arial" w:hAnsi="Arial" w:cs="Arial"/>
        </w:rPr>
        <w:t xml:space="preserve">introduce </w:t>
      </w:r>
      <w:r w:rsidR="00F93664" w:rsidRPr="004358C8">
        <w:rPr>
          <w:rFonts w:ascii="Arial" w:hAnsi="Arial" w:cs="Arial"/>
          <w:b/>
          <w:bCs/>
        </w:rPr>
        <w:t xml:space="preserve">le </w:t>
      </w:r>
      <w:r w:rsidR="005D7124" w:rsidRPr="004358C8">
        <w:rPr>
          <w:rFonts w:ascii="Arial" w:hAnsi="Arial" w:cs="Arial"/>
          <w:b/>
          <w:bCs/>
        </w:rPr>
        <w:t xml:space="preserve">tipologie di </w:t>
      </w:r>
      <w:r w:rsidR="00F93664" w:rsidRPr="004358C8">
        <w:rPr>
          <w:rFonts w:ascii="Arial" w:hAnsi="Arial" w:cs="Arial"/>
          <w:b/>
          <w:bCs/>
        </w:rPr>
        <w:t xml:space="preserve">incentivi </w:t>
      </w:r>
      <w:r w:rsidR="005D7124" w:rsidRPr="004358C8">
        <w:rPr>
          <w:rFonts w:ascii="Arial" w:hAnsi="Arial" w:cs="Arial"/>
          <w:b/>
          <w:bCs/>
        </w:rPr>
        <w:t xml:space="preserve">economici </w:t>
      </w:r>
      <w:r w:rsidR="005D7124" w:rsidRPr="004358C8">
        <w:rPr>
          <w:rFonts w:ascii="Arial" w:hAnsi="Arial" w:cs="Arial"/>
        </w:rPr>
        <w:t xml:space="preserve">per coloro che intendono avviare una </w:t>
      </w:r>
      <w:r w:rsidR="00AA4724" w:rsidRPr="004358C8">
        <w:rPr>
          <w:rFonts w:ascii="Arial" w:hAnsi="Arial" w:cs="Arial"/>
        </w:rPr>
        <w:t>comunità energetica</w:t>
      </w:r>
      <w:r w:rsidR="00F93664" w:rsidRPr="004358C8">
        <w:rPr>
          <w:rFonts w:ascii="Arial" w:hAnsi="Arial" w:cs="Arial"/>
        </w:rPr>
        <w:t xml:space="preserve"> e ne definisce le regole per l’accesso.</w:t>
      </w:r>
    </w:p>
    <w:p w14:paraId="458AFB2A" w14:textId="7FD243E9" w:rsidR="001664B0" w:rsidRPr="004358C8" w:rsidRDefault="001664B0" w:rsidP="00C71FC2">
      <w:pPr>
        <w:jc w:val="both"/>
        <w:rPr>
          <w:rFonts w:ascii="Arial" w:hAnsi="Arial" w:cs="Arial"/>
        </w:rPr>
      </w:pPr>
    </w:p>
    <w:p w14:paraId="408430B0" w14:textId="56B9A3D9" w:rsidR="001664B0" w:rsidRPr="004358C8" w:rsidRDefault="001664B0" w:rsidP="00C71FC2">
      <w:pPr>
        <w:jc w:val="both"/>
        <w:rPr>
          <w:rFonts w:ascii="Arial" w:hAnsi="Arial" w:cs="Arial"/>
          <w:b/>
          <w:bCs/>
        </w:rPr>
      </w:pPr>
      <w:r w:rsidRPr="004358C8">
        <w:rPr>
          <w:rFonts w:ascii="Arial" w:hAnsi="Arial" w:cs="Arial"/>
          <w:b/>
          <w:bCs/>
        </w:rPr>
        <w:t>INCENTIVI E FINANZIAMENTI</w:t>
      </w:r>
    </w:p>
    <w:p w14:paraId="6C98356C" w14:textId="51E0830E" w:rsidR="000A60DB" w:rsidRPr="004358C8" w:rsidRDefault="001664B0" w:rsidP="00C71FC2">
      <w:pPr>
        <w:jc w:val="both"/>
        <w:rPr>
          <w:rFonts w:ascii="Arial" w:hAnsi="Arial" w:cs="Arial"/>
        </w:rPr>
      </w:pPr>
      <w:r w:rsidRPr="004358C8">
        <w:rPr>
          <w:rFonts w:ascii="Arial" w:hAnsi="Arial" w:cs="Arial"/>
        </w:rPr>
        <w:t xml:space="preserve">Gli incentivi disponibili in Italia sono principalmente indirizzati al finanziamento della </w:t>
      </w:r>
      <w:r w:rsidRPr="004358C8">
        <w:rPr>
          <w:rFonts w:ascii="Arial" w:hAnsi="Arial" w:cs="Arial"/>
          <w:b/>
          <w:bCs/>
        </w:rPr>
        <w:t>fase di set-up</w:t>
      </w:r>
      <w:r w:rsidRPr="004358C8">
        <w:rPr>
          <w:rFonts w:ascii="Arial" w:hAnsi="Arial" w:cs="Arial"/>
        </w:rPr>
        <w:t xml:space="preserve"> legata all’installazione degli impianti</w:t>
      </w:r>
      <w:r w:rsidR="00EB07BC" w:rsidRPr="004358C8">
        <w:rPr>
          <w:rFonts w:ascii="Arial" w:hAnsi="Arial" w:cs="Arial"/>
        </w:rPr>
        <w:t xml:space="preserve"> e costituzione della comunità</w:t>
      </w:r>
      <w:r w:rsidRPr="004358C8">
        <w:rPr>
          <w:rFonts w:ascii="Arial" w:hAnsi="Arial" w:cs="Arial"/>
        </w:rPr>
        <w:t>.</w:t>
      </w:r>
      <w:r w:rsidR="00460792" w:rsidRPr="004358C8">
        <w:rPr>
          <w:rFonts w:ascii="Arial" w:hAnsi="Arial" w:cs="Arial"/>
        </w:rPr>
        <w:t xml:space="preserve"> </w:t>
      </w:r>
    </w:p>
    <w:p w14:paraId="1D0BD235" w14:textId="5D0F2D93" w:rsidR="00506699" w:rsidRPr="004358C8" w:rsidRDefault="00506699" w:rsidP="00C71FC2">
      <w:pPr>
        <w:jc w:val="both"/>
        <w:rPr>
          <w:rFonts w:ascii="Arial" w:hAnsi="Arial" w:cs="Arial"/>
        </w:rPr>
      </w:pPr>
      <w:r w:rsidRPr="004358C8">
        <w:rPr>
          <w:rFonts w:ascii="Arial" w:hAnsi="Arial" w:cs="Arial"/>
        </w:rPr>
        <w:t xml:space="preserve">Sono stati stanziati oltre </w:t>
      </w:r>
      <w:r w:rsidRPr="004358C8">
        <w:rPr>
          <w:rFonts w:ascii="Arial" w:hAnsi="Arial" w:cs="Arial"/>
          <w:b/>
          <w:bCs/>
        </w:rPr>
        <w:t>2,6 miliardi di euro</w:t>
      </w:r>
      <w:r w:rsidRPr="004358C8">
        <w:rPr>
          <w:rFonts w:ascii="Arial" w:hAnsi="Arial" w:cs="Arial"/>
        </w:rPr>
        <w:t xml:space="preserve"> per lo sviluppo delle comunità energetiche di cui circa </w:t>
      </w:r>
      <w:r w:rsidRPr="004358C8">
        <w:rPr>
          <w:rFonts w:ascii="Arial" w:hAnsi="Arial" w:cs="Arial"/>
          <w:b/>
          <w:bCs/>
        </w:rPr>
        <w:t>400 milioni di euro</w:t>
      </w:r>
      <w:r w:rsidRPr="004358C8">
        <w:rPr>
          <w:rFonts w:ascii="Arial" w:hAnsi="Arial" w:cs="Arial"/>
        </w:rPr>
        <w:t xml:space="preserve"> </w:t>
      </w:r>
      <w:r w:rsidR="005962DB" w:rsidRPr="004358C8">
        <w:rPr>
          <w:rFonts w:ascii="Arial" w:hAnsi="Arial" w:cs="Arial"/>
        </w:rPr>
        <w:t xml:space="preserve">a livello regionale (80% </w:t>
      </w:r>
      <w:r w:rsidRPr="004358C8">
        <w:rPr>
          <w:rFonts w:ascii="Arial" w:hAnsi="Arial" w:cs="Arial"/>
        </w:rPr>
        <w:t>dal Fondo Europeo per lo Sviluppo Regionale</w:t>
      </w:r>
      <w:r w:rsidR="005962DB" w:rsidRPr="004358C8">
        <w:rPr>
          <w:rFonts w:ascii="Arial" w:hAnsi="Arial" w:cs="Arial"/>
        </w:rPr>
        <w:t>)</w:t>
      </w:r>
      <w:r w:rsidRPr="004358C8">
        <w:rPr>
          <w:rFonts w:ascii="Arial" w:hAnsi="Arial" w:cs="Arial"/>
        </w:rPr>
        <w:t xml:space="preserve"> e </w:t>
      </w:r>
      <w:r w:rsidRPr="004358C8">
        <w:rPr>
          <w:rFonts w:ascii="Arial" w:hAnsi="Arial" w:cs="Arial"/>
          <w:b/>
          <w:bCs/>
        </w:rPr>
        <w:t>2,2 miliardi di euro</w:t>
      </w:r>
      <w:r w:rsidRPr="004358C8">
        <w:rPr>
          <w:rFonts w:ascii="Arial" w:hAnsi="Arial" w:cs="Arial"/>
        </w:rPr>
        <w:t xml:space="preserve"> come contributo </w:t>
      </w:r>
      <w:r w:rsidRPr="004358C8">
        <w:rPr>
          <w:rFonts w:ascii="Arial" w:hAnsi="Arial" w:cs="Arial"/>
          <w:b/>
          <w:bCs/>
        </w:rPr>
        <w:t>PNRR</w:t>
      </w:r>
      <w:r w:rsidR="00364298" w:rsidRPr="004358C8">
        <w:rPr>
          <w:rFonts w:ascii="Arial" w:hAnsi="Arial" w:cs="Arial"/>
        </w:rPr>
        <w:t xml:space="preserve"> destinato a PA, famiglie e microimprese in comuni con meno di 5.000 abitanti </w:t>
      </w:r>
      <w:r w:rsidR="00F3051C" w:rsidRPr="004358C8">
        <w:rPr>
          <w:rFonts w:ascii="Arial" w:hAnsi="Arial" w:cs="Arial"/>
        </w:rPr>
        <w:t>a copertura di un massimo del 40% dei costi ammissibili</w:t>
      </w:r>
      <w:r w:rsidR="00364298" w:rsidRPr="004358C8">
        <w:rPr>
          <w:rFonts w:ascii="Arial" w:hAnsi="Arial" w:cs="Arial"/>
        </w:rPr>
        <w:t>.</w:t>
      </w:r>
    </w:p>
    <w:p w14:paraId="206DB449" w14:textId="3CDE71AA" w:rsidR="00F3051C" w:rsidRPr="004358C8" w:rsidRDefault="00F3051C" w:rsidP="00C71FC2">
      <w:pPr>
        <w:jc w:val="both"/>
        <w:rPr>
          <w:rFonts w:ascii="Arial" w:hAnsi="Arial" w:cs="Arial"/>
        </w:rPr>
      </w:pPr>
      <w:r w:rsidRPr="004358C8">
        <w:rPr>
          <w:rFonts w:ascii="Arial" w:hAnsi="Arial" w:cs="Arial"/>
        </w:rPr>
        <w:t xml:space="preserve">In aggiunta il Gestore dei Servizi Energetici (GSE) riconosce un </w:t>
      </w:r>
      <w:r w:rsidRPr="004358C8">
        <w:rPr>
          <w:rFonts w:ascii="Arial" w:hAnsi="Arial" w:cs="Arial"/>
          <w:b/>
          <w:bCs/>
        </w:rPr>
        <w:t>incentivo a tariffa</w:t>
      </w:r>
      <w:r w:rsidRPr="004358C8">
        <w:rPr>
          <w:rFonts w:ascii="Arial" w:hAnsi="Arial" w:cs="Arial"/>
        </w:rPr>
        <w:t xml:space="preserve"> sull’autoconsumo virtuale pari a circa 110€/MWh</w:t>
      </w:r>
      <w:r w:rsidR="005962DB" w:rsidRPr="004358C8">
        <w:rPr>
          <w:rFonts w:ascii="Arial" w:hAnsi="Arial" w:cs="Arial"/>
        </w:rPr>
        <w:t>.</w:t>
      </w:r>
    </w:p>
    <w:p w14:paraId="0F49A9B0" w14:textId="77777777" w:rsidR="00AB73F2" w:rsidRPr="004358C8" w:rsidRDefault="00AB73F2" w:rsidP="00C71FC2">
      <w:pPr>
        <w:jc w:val="both"/>
        <w:rPr>
          <w:rFonts w:ascii="Arial" w:hAnsi="Arial" w:cs="Arial"/>
        </w:rPr>
      </w:pPr>
    </w:p>
    <w:p w14:paraId="22793571" w14:textId="272F9719" w:rsidR="00B060AB" w:rsidRPr="004358C8" w:rsidRDefault="004B1D03" w:rsidP="006C7B71">
      <w:pPr>
        <w:rPr>
          <w:rFonts w:ascii="Arial" w:hAnsi="Arial" w:cs="Arial"/>
        </w:rPr>
      </w:pPr>
      <w:r w:rsidRPr="004358C8">
        <w:rPr>
          <w:rFonts w:ascii="Arial" w:hAnsi="Arial" w:cs="Arial"/>
        </w:rPr>
        <w:t xml:space="preserve">La scelta di destinare i fondi PNRR unicamente a comuni con meno di 5.000 abitanti </w:t>
      </w:r>
      <w:r w:rsidR="00E9025A" w:rsidRPr="004358C8">
        <w:rPr>
          <w:rFonts w:ascii="Arial" w:hAnsi="Arial" w:cs="Arial"/>
        </w:rPr>
        <w:t>solleva</w:t>
      </w:r>
      <w:r w:rsidRPr="004358C8">
        <w:rPr>
          <w:rFonts w:ascii="Arial" w:hAnsi="Arial" w:cs="Arial"/>
        </w:rPr>
        <w:t xml:space="preserve"> perplessità </w:t>
      </w:r>
      <w:r w:rsidR="00E9025A" w:rsidRPr="004358C8">
        <w:rPr>
          <w:rFonts w:ascii="Arial" w:hAnsi="Arial" w:cs="Arial"/>
        </w:rPr>
        <w:t>considerando</w:t>
      </w:r>
      <w:r w:rsidR="000431B6" w:rsidRPr="004358C8">
        <w:rPr>
          <w:rFonts w:ascii="Arial" w:hAnsi="Arial" w:cs="Arial"/>
        </w:rPr>
        <w:t xml:space="preserve"> i possibili impatti in termini di producibilità </w:t>
      </w:r>
      <w:r w:rsidR="00E9025A" w:rsidRPr="004358C8">
        <w:rPr>
          <w:rFonts w:ascii="Arial" w:hAnsi="Arial" w:cs="Arial"/>
        </w:rPr>
        <w:t xml:space="preserve">(circa </w:t>
      </w:r>
      <w:r w:rsidR="000C6634" w:rsidRPr="004358C8">
        <w:rPr>
          <w:rFonts w:ascii="Arial" w:hAnsi="Arial" w:cs="Arial"/>
        </w:rPr>
        <w:t>40%</w:t>
      </w:r>
      <w:r w:rsidR="000431B6" w:rsidRPr="004358C8">
        <w:rPr>
          <w:rFonts w:ascii="Arial" w:hAnsi="Arial" w:cs="Arial"/>
        </w:rPr>
        <w:t xml:space="preserve"> dei comuni sito</w:t>
      </w:r>
      <w:r w:rsidR="000C6634" w:rsidRPr="004358C8">
        <w:rPr>
          <w:rFonts w:ascii="Arial" w:hAnsi="Arial" w:cs="Arial"/>
        </w:rPr>
        <w:t xml:space="preserve"> in Piemonte e Lombardia) </w:t>
      </w:r>
      <w:r w:rsidR="009945B8" w:rsidRPr="004358C8">
        <w:rPr>
          <w:rFonts w:ascii="Arial" w:hAnsi="Arial" w:cs="Arial"/>
        </w:rPr>
        <w:t xml:space="preserve">e </w:t>
      </w:r>
      <w:r w:rsidR="000431B6" w:rsidRPr="004358C8">
        <w:rPr>
          <w:rFonts w:ascii="Arial" w:hAnsi="Arial" w:cs="Arial"/>
        </w:rPr>
        <w:t xml:space="preserve">di </w:t>
      </w:r>
      <w:r w:rsidR="00B72F08" w:rsidRPr="004358C8">
        <w:rPr>
          <w:rFonts w:ascii="Arial" w:hAnsi="Arial" w:cs="Arial"/>
        </w:rPr>
        <w:t xml:space="preserve">costi unitari </w:t>
      </w:r>
      <w:r w:rsidR="000431B6" w:rsidRPr="004358C8">
        <w:rPr>
          <w:rFonts w:ascii="Arial" w:hAnsi="Arial" w:cs="Arial"/>
        </w:rPr>
        <w:t xml:space="preserve">degli impianti </w:t>
      </w:r>
      <w:r w:rsidR="000600CC" w:rsidRPr="004358C8">
        <w:rPr>
          <w:rFonts w:ascii="Arial" w:hAnsi="Arial" w:cs="Arial"/>
        </w:rPr>
        <w:t>(taglia ridotta della singola comunità)</w:t>
      </w:r>
      <w:r w:rsidR="009945B8" w:rsidRPr="004358C8">
        <w:rPr>
          <w:rFonts w:ascii="Arial" w:hAnsi="Arial" w:cs="Arial"/>
        </w:rPr>
        <w:t xml:space="preserve">. </w:t>
      </w:r>
    </w:p>
    <w:p w14:paraId="3ED3B553" w14:textId="5AE018ED" w:rsidR="00C36356" w:rsidRPr="004358C8" w:rsidRDefault="00C36356" w:rsidP="00C71FC2">
      <w:pPr>
        <w:jc w:val="both"/>
        <w:rPr>
          <w:rFonts w:ascii="Arial" w:hAnsi="Arial" w:cs="Arial"/>
        </w:rPr>
      </w:pPr>
    </w:p>
    <w:p w14:paraId="75877E35" w14:textId="77777777" w:rsidR="00497811" w:rsidRDefault="00497811" w:rsidP="00C71FC2">
      <w:pPr>
        <w:jc w:val="both"/>
        <w:rPr>
          <w:rFonts w:ascii="Arial" w:hAnsi="Arial" w:cs="Arial"/>
          <w:b/>
          <w:bCs/>
        </w:rPr>
      </w:pPr>
    </w:p>
    <w:p w14:paraId="62292BE4" w14:textId="483D5F8D" w:rsidR="00C36356" w:rsidRPr="004358C8" w:rsidRDefault="00C36356" w:rsidP="00C71FC2">
      <w:pPr>
        <w:jc w:val="both"/>
        <w:rPr>
          <w:rFonts w:ascii="Arial" w:hAnsi="Arial" w:cs="Arial"/>
          <w:b/>
          <w:bCs/>
        </w:rPr>
      </w:pPr>
      <w:r w:rsidRPr="004358C8">
        <w:rPr>
          <w:rFonts w:ascii="Arial" w:hAnsi="Arial" w:cs="Arial"/>
          <w:b/>
          <w:bCs/>
        </w:rPr>
        <w:t xml:space="preserve">MAPPATURA </w:t>
      </w:r>
      <w:r w:rsidR="000A6FCE" w:rsidRPr="004358C8">
        <w:rPr>
          <w:rFonts w:ascii="Arial" w:hAnsi="Arial" w:cs="Arial"/>
          <w:b/>
          <w:bCs/>
        </w:rPr>
        <w:t>DELLE COMUNITÀ IN ITALIA</w:t>
      </w:r>
    </w:p>
    <w:p w14:paraId="13D66EC3" w14:textId="79E06C75" w:rsidR="004C21CC" w:rsidRPr="004358C8" w:rsidRDefault="00FB3916" w:rsidP="00C71FC2">
      <w:pPr>
        <w:jc w:val="both"/>
        <w:rPr>
          <w:rFonts w:ascii="Arial" w:hAnsi="Arial" w:cs="Arial"/>
        </w:rPr>
      </w:pPr>
      <w:r w:rsidRPr="004358C8">
        <w:rPr>
          <w:rFonts w:ascii="Arial" w:hAnsi="Arial" w:cs="Arial"/>
        </w:rPr>
        <w:t xml:space="preserve">In Italia sono </w:t>
      </w:r>
      <w:r w:rsidR="00593337" w:rsidRPr="004358C8">
        <w:rPr>
          <w:rFonts w:ascii="Arial" w:hAnsi="Arial" w:cs="Arial"/>
        </w:rPr>
        <w:t>presenti ad oggi</w:t>
      </w:r>
      <w:r w:rsidRPr="004358C8">
        <w:rPr>
          <w:rFonts w:ascii="Arial" w:hAnsi="Arial" w:cs="Arial"/>
        </w:rPr>
        <w:t xml:space="preserve"> </w:t>
      </w:r>
      <w:r w:rsidRPr="004358C8">
        <w:rPr>
          <w:rFonts w:ascii="Arial" w:hAnsi="Arial" w:cs="Arial"/>
          <w:b/>
          <w:bCs/>
        </w:rPr>
        <w:t>86</w:t>
      </w:r>
      <w:r w:rsidRPr="004358C8">
        <w:rPr>
          <w:rFonts w:ascii="Arial" w:hAnsi="Arial" w:cs="Arial"/>
        </w:rPr>
        <w:t xml:space="preserve"> </w:t>
      </w:r>
      <w:r w:rsidRPr="004358C8">
        <w:rPr>
          <w:rFonts w:ascii="Arial" w:hAnsi="Arial" w:cs="Arial"/>
          <w:b/>
          <w:bCs/>
        </w:rPr>
        <w:t>comunità energetiche</w:t>
      </w:r>
      <w:r w:rsidRPr="004358C8">
        <w:rPr>
          <w:rFonts w:ascii="Arial" w:hAnsi="Arial" w:cs="Arial"/>
        </w:rPr>
        <w:t xml:space="preserve"> (65% ancora in </w:t>
      </w:r>
      <w:r w:rsidR="000367BD" w:rsidRPr="004358C8">
        <w:rPr>
          <w:rFonts w:ascii="Arial" w:hAnsi="Arial" w:cs="Arial"/>
        </w:rPr>
        <w:t>fase di realizzazione</w:t>
      </w:r>
      <w:r w:rsidRPr="004358C8">
        <w:rPr>
          <w:rFonts w:ascii="Arial" w:hAnsi="Arial" w:cs="Arial"/>
        </w:rPr>
        <w:t xml:space="preserve">), di </w:t>
      </w:r>
      <w:r w:rsidR="000367BD" w:rsidRPr="004358C8">
        <w:rPr>
          <w:rFonts w:ascii="Arial" w:hAnsi="Arial" w:cs="Arial"/>
        </w:rPr>
        <w:t xml:space="preserve">cui </w:t>
      </w:r>
      <w:r w:rsidRPr="004358C8">
        <w:rPr>
          <w:rFonts w:ascii="Arial" w:hAnsi="Arial" w:cs="Arial"/>
        </w:rPr>
        <w:t>36 AUC e 50 CER</w:t>
      </w:r>
      <w:r w:rsidR="000367BD" w:rsidRPr="004358C8">
        <w:rPr>
          <w:rFonts w:ascii="Arial" w:hAnsi="Arial" w:cs="Arial"/>
        </w:rPr>
        <w:t xml:space="preserve"> per una</w:t>
      </w:r>
      <w:r w:rsidRPr="004358C8">
        <w:rPr>
          <w:rFonts w:ascii="Arial" w:hAnsi="Arial" w:cs="Arial"/>
        </w:rPr>
        <w:t xml:space="preserve"> potenza installata </w:t>
      </w:r>
      <w:r w:rsidR="00982BB5" w:rsidRPr="004358C8">
        <w:rPr>
          <w:rFonts w:ascii="Arial" w:hAnsi="Arial" w:cs="Arial"/>
        </w:rPr>
        <w:t>di circa</w:t>
      </w:r>
      <w:r w:rsidR="000367BD" w:rsidRPr="004358C8">
        <w:rPr>
          <w:rFonts w:ascii="Arial" w:hAnsi="Arial" w:cs="Arial"/>
        </w:rPr>
        <w:t xml:space="preserve"> </w:t>
      </w:r>
      <w:r w:rsidR="00982BB5" w:rsidRPr="004358C8">
        <w:rPr>
          <w:rFonts w:ascii="Arial" w:hAnsi="Arial" w:cs="Arial"/>
        </w:rPr>
        <w:t>60</w:t>
      </w:r>
      <w:r w:rsidRPr="004358C8">
        <w:rPr>
          <w:rFonts w:ascii="Arial" w:hAnsi="Arial" w:cs="Arial"/>
        </w:rPr>
        <w:t xml:space="preserve">MW. </w:t>
      </w:r>
    </w:p>
    <w:p w14:paraId="3193758F" w14:textId="7FFC59DF" w:rsidR="00B465C6" w:rsidRPr="004358C8" w:rsidRDefault="00AC020B" w:rsidP="00C71FC2">
      <w:pPr>
        <w:jc w:val="both"/>
        <w:rPr>
          <w:rFonts w:ascii="Arial" w:hAnsi="Arial" w:cs="Arial"/>
        </w:rPr>
      </w:pPr>
      <w:r w:rsidRPr="004358C8">
        <w:rPr>
          <w:rFonts w:ascii="Arial" w:hAnsi="Arial" w:cs="Arial"/>
        </w:rPr>
        <w:t>L</w:t>
      </w:r>
      <w:r w:rsidR="00B63B23">
        <w:rPr>
          <w:rFonts w:ascii="Arial" w:hAnsi="Arial" w:cs="Arial"/>
        </w:rPr>
        <w:t>’analisi</w:t>
      </w:r>
      <w:r w:rsidRPr="004358C8">
        <w:rPr>
          <w:rFonts w:ascii="Arial" w:hAnsi="Arial" w:cs="Arial"/>
        </w:rPr>
        <w:t xml:space="preserve"> identifica ad oggi </w:t>
      </w:r>
      <w:r w:rsidR="00B465C6" w:rsidRPr="004358C8">
        <w:rPr>
          <w:rFonts w:ascii="Arial" w:hAnsi="Arial" w:cs="Arial"/>
          <w:b/>
          <w:bCs/>
        </w:rPr>
        <w:t>3 principali</w:t>
      </w:r>
      <w:r w:rsidR="00B465C6" w:rsidRPr="004358C8">
        <w:rPr>
          <w:rFonts w:ascii="Arial" w:hAnsi="Arial" w:cs="Arial"/>
        </w:rPr>
        <w:t xml:space="preserve"> </w:t>
      </w:r>
      <w:r w:rsidR="00DA33D7" w:rsidRPr="004358C8">
        <w:rPr>
          <w:rFonts w:ascii="Arial" w:hAnsi="Arial" w:cs="Arial"/>
          <w:b/>
          <w:bCs/>
        </w:rPr>
        <w:t xml:space="preserve">modelli </w:t>
      </w:r>
      <w:r w:rsidR="00B465C6" w:rsidRPr="004358C8">
        <w:rPr>
          <w:rFonts w:ascii="Arial" w:hAnsi="Arial" w:cs="Arial"/>
        </w:rPr>
        <w:t xml:space="preserve">di </w:t>
      </w:r>
      <w:r w:rsidR="00DA33D7" w:rsidRPr="004358C8">
        <w:rPr>
          <w:rFonts w:ascii="Arial" w:hAnsi="Arial" w:cs="Arial"/>
        </w:rPr>
        <w:t>c</w:t>
      </w:r>
      <w:r w:rsidR="00B465C6" w:rsidRPr="004358C8">
        <w:rPr>
          <w:rFonts w:ascii="Arial" w:hAnsi="Arial" w:cs="Arial"/>
        </w:rPr>
        <w:t xml:space="preserve">omunità </w:t>
      </w:r>
      <w:r w:rsidR="00DA33D7" w:rsidRPr="004358C8">
        <w:rPr>
          <w:rFonts w:ascii="Arial" w:hAnsi="Arial" w:cs="Arial"/>
        </w:rPr>
        <w:t>e</w:t>
      </w:r>
      <w:r w:rsidR="00B465C6" w:rsidRPr="004358C8">
        <w:rPr>
          <w:rFonts w:ascii="Arial" w:hAnsi="Arial" w:cs="Arial"/>
        </w:rPr>
        <w:t>nergetic</w:t>
      </w:r>
      <w:r w:rsidRPr="004358C8">
        <w:rPr>
          <w:rFonts w:ascii="Arial" w:hAnsi="Arial" w:cs="Arial"/>
        </w:rPr>
        <w:t>a</w:t>
      </w:r>
      <w:r w:rsidR="00B465C6" w:rsidRPr="004358C8">
        <w:rPr>
          <w:rFonts w:ascii="Arial" w:hAnsi="Arial" w:cs="Arial"/>
        </w:rPr>
        <w:t>:</w:t>
      </w:r>
    </w:p>
    <w:p w14:paraId="6AC6FECD" w14:textId="77777777" w:rsidR="00D61F13" w:rsidRPr="004358C8" w:rsidRDefault="00D61F13" w:rsidP="00C71FC2">
      <w:pPr>
        <w:jc w:val="both"/>
        <w:rPr>
          <w:rFonts w:ascii="Arial" w:hAnsi="Arial" w:cs="Arial"/>
          <w:b/>
          <w:bCs/>
        </w:rPr>
      </w:pPr>
    </w:p>
    <w:p w14:paraId="64BAACCE" w14:textId="72EE567D" w:rsidR="009B31C5" w:rsidRPr="004358C8" w:rsidRDefault="00B465C6" w:rsidP="006C7B71">
      <w:pPr>
        <w:pStyle w:val="Paragrafoelenco"/>
        <w:numPr>
          <w:ilvl w:val="0"/>
          <w:numId w:val="2"/>
        </w:numPr>
        <w:rPr>
          <w:rFonts w:ascii="Arial" w:hAnsi="Arial" w:cs="Arial"/>
          <w:b/>
          <w:bCs/>
        </w:rPr>
      </w:pPr>
      <w:r w:rsidRPr="004358C8">
        <w:rPr>
          <w:rFonts w:ascii="Arial" w:hAnsi="Arial" w:cs="Arial"/>
          <w:b/>
          <w:bCs/>
        </w:rPr>
        <w:t>MODELLO CONDOMINIALE</w:t>
      </w:r>
      <w:r w:rsidRPr="004358C8">
        <w:rPr>
          <w:rFonts w:ascii="Arial" w:hAnsi="Arial" w:cs="Arial"/>
        </w:rPr>
        <w:t xml:space="preserve"> [AUC]</w:t>
      </w:r>
      <w:r w:rsidR="00D066E1" w:rsidRPr="004358C8">
        <w:rPr>
          <w:rFonts w:ascii="Arial" w:hAnsi="Arial" w:cs="Arial"/>
        </w:rPr>
        <w:t xml:space="preserve"> </w:t>
      </w:r>
      <w:r w:rsidR="00033C27" w:rsidRPr="004358C8">
        <w:rPr>
          <w:rFonts w:ascii="Arial" w:hAnsi="Arial" w:cs="Arial"/>
        </w:rPr>
        <w:t xml:space="preserve">è </w:t>
      </w:r>
      <w:r w:rsidR="00A63233" w:rsidRPr="004358C8">
        <w:rPr>
          <w:rFonts w:ascii="Arial" w:hAnsi="Arial" w:cs="Arial"/>
        </w:rPr>
        <w:t>solitamente promosso dall’</w:t>
      </w:r>
      <w:r w:rsidRPr="004358C8">
        <w:rPr>
          <w:rFonts w:ascii="Arial" w:hAnsi="Arial" w:cs="Arial"/>
        </w:rPr>
        <w:t xml:space="preserve">’amministratore di condominio </w:t>
      </w:r>
      <w:r w:rsidR="00A63233" w:rsidRPr="004358C8">
        <w:rPr>
          <w:rFonts w:ascii="Arial" w:hAnsi="Arial" w:cs="Arial"/>
        </w:rPr>
        <w:t>e</w:t>
      </w:r>
      <w:r w:rsidR="00816A32" w:rsidRPr="004358C8">
        <w:rPr>
          <w:rFonts w:ascii="Arial" w:hAnsi="Arial" w:cs="Arial"/>
        </w:rPr>
        <w:t xml:space="preserve"> si</w:t>
      </w:r>
      <w:r w:rsidRPr="004358C8">
        <w:rPr>
          <w:rFonts w:ascii="Arial" w:hAnsi="Arial" w:cs="Arial"/>
        </w:rPr>
        <w:t xml:space="preserve"> rivolge agli inquilini</w:t>
      </w:r>
      <w:r w:rsidR="00033C27" w:rsidRPr="004358C8">
        <w:rPr>
          <w:rFonts w:ascii="Arial" w:hAnsi="Arial" w:cs="Arial"/>
        </w:rPr>
        <w:t xml:space="preserve"> del condominio stesso</w:t>
      </w:r>
      <w:r w:rsidR="003C174A" w:rsidRPr="004358C8">
        <w:rPr>
          <w:rFonts w:ascii="Arial" w:hAnsi="Arial" w:cs="Arial"/>
        </w:rPr>
        <w:t>.</w:t>
      </w:r>
      <w:r w:rsidR="006E26A9" w:rsidRPr="004358C8">
        <w:rPr>
          <w:rFonts w:ascii="Arial" w:hAnsi="Arial" w:cs="Arial"/>
        </w:rPr>
        <w:t xml:space="preserve"> </w:t>
      </w:r>
      <w:r w:rsidR="009E5079" w:rsidRPr="004358C8">
        <w:rPr>
          <w:rFonts w:ascii="Arial" w:hAnsi="Arial" w:cs="Arial"/>
        </w:rPr>
        <w:t xml:space="preserve">In questo modello </w:t>
      </w:r>
      <w:r w:rsidR="00FF1CBC" w:rsidRPr="004358C8">
        <w:rPr>
          <w:rFonts w:ascii="Arial" w:hAnsi="Arial" w:cs="Arial"/>
        </w:rPr>
        <w:t xml:space="preserve">l’autoconsumo fisico riguarda prettamente gli spazi comuni, mentre l’energia </w:t>
      </w:r>
      <w:r w:rsidR="00FC78A9" w:rsidRPr="004358C8">
        <w:rPr>
          <w:rFonts w:ascii="Arial" w:hAnsi="Arial" w:cs="Arial"/>
        </w:rPr>
        <w:t xml:space="preserve">delle famiglie del condominio è </w:t>
      </w:r>
      <w:proofErr w:type="spellStart"/>
      <w:r w:rsidR="00FC78A9" w:rsidRPr="004358C8">
        <w:rPr>
          <w:rFonts w:ascii="Arial" w:hAnsi="Arial" w:cs="Arial"/>
        </w:rPr>
        <w:t>autoconsumata</w:t>
      </w:r>
      <w:proofErr w:type="spellEnd"/>
      <w:r w:rsidR="00FC78A9" w:rsidRPr="004358C8">
        <w:rPr>
          <w:rFonts w:ascii="Arial" w:hAnsi="Arial" w:cs="Arial"/>
        </w:rPr>
        <w:t xml:space="preserve"> virtualmente. </w:t>
      </w:r>
      <w:r w:rsidR="008B56E5" w:rsidRPr="004358C8">
        <w:rPr>
          <w:rFonts w:ascii="Arial" w:hAnsi="Arial" w:cs="Arial"/>
        </w:rPr>
        <w:t>Un esempio di modello condominiale è l’</w:t>
      </w:r>
      <w:r w:rsidR="00463DCC" w:rsidRPr="004358C8">
        <w:rPr>
          <w:rFonts w:ascii="Arial" w:hAnsi="Arial" w:cs="Arial"/>
        </w:rPr>
        <w:t>AU</w:t>
      </w:r>
      <w:r w:rsidR="004876A6" w:rsidRPr="004358C8">
        <w:rPr>
          <w:rFonts w:ascii="Arial" w:hAnsi="Arial" w:cs="Arial"/>
        </w:rPr>
        <w:t>C</w:t>
      </w:r>
      <w:r w:rsidR="00463DCC" w:rsidRPr="004358C8">
        <w:rPr>
          <w:rFonts w:ascii="Arial" w:hAnsi="Arial" w:cs="Arial"/>
        </w:rPr>
        <w:t xml:space="preserve"> di Pinerolo</w:t>
      </w:r>
      <w:r w:rsidR="008B56E5" w:rsidRPr="004358C8">
        <w:rPr>
          <w:rFonts w:ascii="Arial" w:hAnsi="Arial" w:cs="Arial"/>
        </w:rPr>
        <w:t xml:space="preserve"> </w:t>
      </w:r>
      <w:r w:rsidR="00093AEF" w:rsidRPr="004358C8">
        <w:rPr>
          <w:rFonts w:ascii="Arial" w:hAnsi="Arial" w:cs="Arial"/>
        </w:rPr>
        <w:t>(</w:t>
      </w:r>
      <w:r w:rsidR="00B61025" w:rsidRPr="004358C8">
        <w:rPr>
          <w:rFonts w:ascii="Arial" w:hAnsi="Arial" w:cs="Arial"/>
        </w:rPr>
        <w:t xml:space="preserve">potenza di </w:t>
      </w:r>
      <w:r w:rsidR="00093AEF" w:rsidRPr="004358C8">
        <w:rPr>
          <w:rFonts w:ascii="Arial" w:hAnsi="Arial" w:cs="Arial"/>
        </w:rPr>
        <w:t>20</w:t>
      </w:r>
      <w:r w:rsidR="00B24FFD" w:rsidRPr="004358C8">
        <w:rPr>
          <w:rFonts w:ascii="Arial" w:hAnsi="Arial" w:cs="Arial"/>
        </w:rPr>
        <w:t xml:space="preserve"> kW) costituito</w:t>
      </w:r>
      <w:r w:rsidR="008B56E5" w:rsidRPr="004358C8">
        <w:rPr>
          <w:rFonts w:ascii="Arial" w:hAnsi="Arial" w:cs="Arial"/>
        </w:rPr>
        <w:t xml:space="preserve"> da Acea Energia</w:t>
      </w:r>
      <w:r w:rsidR="00093AEF" w:rsidRPr="004358C8">
        <w:rPr>
          <w:rFonts w:ascii="Arial" w:hAnsi="Arial" w:cs="Arial"/>
        </w:rPr>
        <w:t xml:space="preserve"> come parte del progetto </w:t>
      </w:r>
      <w:proofErr w:type="spellStart"/>
      <w:r w:rsidR="00093AEF" w:rsidRPr="004358C8">
        <w:rPr>
          <w:rFonts w:ascii="Arial" w:hAnsi="Arial" w:cs="Arial"/>
        </w:rPr>
        <w:t>Energheia</w:t>
      </w:r>
      <w:proofErr w:type="spellEnd"/>
      <w:r w:rsidR="00093AEF" w:rsidRPr="004358C8">
        <w:rPr>
          <w:rFonts w:ascii="Arial" w:hAnsi="Arial" w:cs="Arial"/>
        </w:rPr>
        <w:t xml:space="preserve"> </w:t>
      </w:r>
      <w:r w:rsidR="00A93B25" w:rsidRPr="004358C8">
        <w:rPr>
          <w:rFonts w:ascii="Arial" w:hAnsi="Arial" w:cs="Arial"/>
        </w:rPr>
        <w:t xml:space="preserve">che </w:t>
      </w:r>
      <w:r w:rsidR="00D8259F" w:rsidRPr="004358C8">
        <w:rPr>
          <w:rFonts w:ascii="Arial" w:hAnsi="Arial" w:cs="Arial"/>
        </w:rPr>
        <w:t>ha avviato</w:t>
      </w:r>
      <w:r w:rsidR="00A93B25" w:rsidRPr="004358C8">
        <w:rPr>
          <w:rFonts w:ascii="Arial" w:hAnsi="Arial" w:cs="Arial"/>
        </w:rPr>
        <w:t xml:space="preserve"> diversi</w:t>
      </w:r>
      <w:r w:rsidR="00D8259F" w:rsidRPr="004358C8">
        <w:rPr>
          <w:rFonts w:ascii="Arial" w:hAnsi="Arial" w:cs="Arial"/>
        </w:rPr>
        <w:t xml:space="preserve"> progetti AUC </w:t>
      </w:r>
      <w:r w:rsidR="00A93B25" w:rsidRPr="004358C8">
        <w:rPr>
          <w:rFonts w:ascii="Arial" w:hAnsi="Arial" w:cs="Arial"/>
        </w:rPr>
        <w:t>in Piemonte</w:t>
      </w:r>
      <w:r w:rsidR="00463DCC" w:rsidRPr="004358C8">
        <w:rPr>
          <w:rFonts w:ascii="Arial" w:hAnsi="Arial" w:cs="Arial"/>
        </w:rPr>
        <w:t xml:space="preserve">. </w:t>
      </w:r>
    </w:p>
    <w:p w14:paraId="51A1C0D7" w14:textId="7A7BAE55" w:rsidR="009B31C5" w:rsidRPr="004358C8" w:rsidRDefault="009B31C5" w:rsidP="006C7B71">
      <w:pPr>
        <w:pStyle w:val="Paragrafoelenco"/>
        <w:numPr>
          <w:ilvl w:val="0"/>
          <w:numId w:val="2"/>
        </w:numPr>
        <w:rPr>
          <w:rFonts w:ascii="Arial" w:hAnsi="Arial" w:cs="Arial"/>
        </w:rPr>
      </w:pPr>
      <w:r w:rsidRPr="004358C8">
        <w:rPr>
          <w:rFonts w:ascii="Arial" w:hAnsi="Arial" w:cs="Arial"/>
          <w:b/>
          <w:bCs/>
        </w:rPr>
        <w:t>M</w:t>
      </w:r>
      <w:r w:rsidR="003C174A" w:rsidRPr="004358C8">
        <w:rPr>
          <w:rFonts w:ascii="Arial" w:hAnsi="Arial" w:cs="Arial"/>
          <w:b/>
          <w:bCs/>
        </w:rPr>
        <w:t>ODELLO COLLETTIVO</w:t>
      </w:r>
      <w:r w:rsidR="003C174A" w:rsidRPr="004358C8">
        <w:rPr>
          <w:rFonts w:ascii="Arial" w:hAnsi="Arial" w:cs="Arial"/>
        </w:rPr>
        <w:t xml:space="preserve"> [CER]</w:t>
      </w:r>
      <w:r w:rsidR="00D066E1" w:rsidRPr="004358C8">
        <w:rPr>
          <w:rFonts w:ascii="Arial" w:hAnsi="Arial" w:cs="Arial"/>
        </w:rPr>
        <w:t xml:space="preserve"> </w:t>
      </w:r>
      <w:r w:rsidR="00D8259F" w:rsidRPr="004358C8">
        <w:rPr>
          <w:rFonts w:ascii="Arial" w:hAnsi="Arial" w:cs="Arial"/>
        </w:rPr>
        <w:t xml:space="preserve">è </w:t>
      </w:r>
      <w:r w:rsidR="00D066E1" w:rsidRPr="004358C8">
        <w:rPr>
          <w:rFonts w:ascii="Arial" w:hAnsi="Arial" w:cs="Arial"/>
        </w:rPr>
        <w:t>solitamente p</w:t>
      </w:r>
      <w:r w:rsidR="003C174A" w:rsidRPr="004358C8">
        <w:rPr>
          <w:rFonts w:ascii="Arial" w:hAnsi="Arial" w:cs="Arial"/>
        </w:rPr>
        <w:t xml:space="preserve">romosso da cooperative o </w:t>
      </w:r>
      <w:r w:rsidR="006A4F7C" w:rsidRPr="004358C8">
        <w:rPr>
          <w:rFonts w:ascii="Arial" w:hAnsi="Arial" w:cs="Arial"/>
        </w:rPr>
        <w:t>da cittadini e può includere</w:t>
      </w:r>
      <w:r w:rsidR="003C174A" w:rsidRPr="004358C8">
        <w:rPr>
          <w:rFonts w:ascii="Arial" w:hAnsi="Arial" w:cs="Arial"/>
        </w:rPr>
        <w:t xml:space="preserve"> </w:t>
      </w:r>
      <w:r w:rsidR="00B27226" w:rsidRPr="004358C8">
        <w:rPr>
          <w:rFonts w:ascii="Arial" w:hAnsi="Arial" w:cs="Arial"/>
        </w:rPr>
        <w:t>utenti residenziali e/o PMI</w:t>
      </w:r>
      <w:r w:rsidR="003C174A" w:rsidRPr="004358C8">
        <w:rPr>
          <w:rFonts w:ascii="Arial" w:hAnsi="Arial" w:cs="Arial"/>
        </w:rPr>
        <w:t xml:space="preserve">. La CER viene finanziata </w:t>
      </w:r>
      <w:r w:rsidR="000B3FA0" w:rsidRPr="004358C8">
        <w:rPr>
          <w:rFonts w:ascii="Arial" w:hAnsi="Arial" w:cs="Arial"/>
        </w:rPr>
        <w:t xml:space="preserve">nella maggior parte dei casi </w:t>
      </w:r>
      <w:r w:rsidR="003C174A" w:rsidRPr="004358C8">
        <w:rPr>
          <w:rFonts w:ascii="Arial" w:hAnsi="Arial" w:cs="Arial"/>
        </w:rPr>
        <w:t xml:space="preserve">con fondi pubblici </w:t>
      </w:r>
      <w:r w:rsidR="000B3FA0" w:rsidRPr="004358C8">
        <w:rPr>
          <w:rFonts w:ascii="Arial" w:hAnsi="Arial" w:cs="Arial"/>
        </w:rPr>
        <w:t>e/o</w:t>
      </w:r>
      <w:r w:rsidR="003C174A" w:rsidRPr="004358C8">
        <w:rPr>
          <w:rFonts w:ascii="Arial" w:hAnsi="Arial" w:cs="Arial"/>
        </w:rPr>
        <w:t xml:space="preserve"> co-investimento dei partecipanti.</w:t>
      </w:r>
      <w:r w:rsidR="005A61F9" w:rsidRPr="004358C8">
        <w:rPr>
          <w:rFonts w:ascii="Arial" w:hAnsi="Arial" w:cs="Arial"/>
        </w:rPr>
        <w:t xml:space="preserve"> Un esempio di modello collettivo è la CER</w:t>
      </w:r>
      <w:r w:rsidR="003C174A" w:rsidRPr="004358C8">
        <w:rPr>
          <w:rFonts w:ascii="Arial" w:hAnsi="Arial" w:cs="Arial"/>
        </w:rPr>
        <w:t xml:space="preserve"> </w:t>
      </w:r>
      <w:r w:rsidR="004F2E59" w:rsidRPr="004358C8">
        <w:rPr>
          <w:rFonts w:ascii="Arial" w:hAnsi="Arial" w:cs="Arial"/>
        </w:rPr>
        <w:t>di Ussaramanna</w:t>
      </w:r>
      <w:r w:rsidR="005A61F9" w:rsidRPr="004358C8">
        <w:rPr>
          <w:rFonts w:ascii="Arial" w:hAnsi="Arial" w:cs="Arial"/>
        </w:rPr>
        <w:t xml:space="preserve"> p</w:t>
      </w:r>
      <w:r w:rsidR="00483ACA" w:rsidRPr="004358C8">
        <w:rPr>
          <w:rFonts w:ascii="Arial" w:hAnsi="Arial" w:cs="Arial"/>
        </w:rPr>
        <w:t>romoss</w:t>
      </w:r>
      <w:r w:rsidR="005A61F9" w:rsidRPr="004358C8">
        <w:rPr>
          <w:rFonts w:ascii="Arial" w:hAnsi="Arial" w:cs="Arial"/>
        </w:rPr>
        <w:t>a</w:t>
      </w:r>
      <w:r w:rsidR="00483ACA" w:rsidRPr="004358C8">
        <w:rPr>
          <w:rFonts w:ascii="Arial" w:hAnsi="Arial" w:cs="Arial"/>
        </w:rPr>
        <w:t xml:space="preserve"> dalla Cooperativa </w:t>
      </w:r>
      <w:proofErr w:type="spellStart"/>
      <w:r w:rsidR="005A61F9" w:rsidRPr="004358C8">
        <w:rPr>
          <w:rFonts w:ascii="Arial" w:hAnsi="Arial" w:cs="Arial"/>
        </w:rPr>
        <w:t>Ènostra</w:t>
      </w:r>
      <w:proofErr w:type="spellEnd"/>
      <w:r w:rsidR="005A61F9" w:rsidRPr="004358C8">
        <w:rPr>
          <w:rFonts w:ascii="Arial" w:hAnsi="Arial" w:cs="Arial"/>
        </w:rPr>
        <w:t>. La CER</w:t>
      </w:r>
      <w:r w:rsidR="00483ACA" w:rsidRPr="004358C8">
        <w:rPr>
          <w:rFonts w:ascii="Arial" w:hAnsi="Arial" w:cs="Arial"/>
        </w:rPr>
        <w:t xml:space="preserve"> </w:t>
      </w:r>
      <w:r w:rsidR="005A61F9" w:rsidRPr="004358C8">
        <w:rPr>
          <w:rFonts w:ascii="Arial" w:hAnsi="Arial" w:cs="Arial"/>
        </w:rPr>
        <w:t>è composta da</w:t>
      </w:r>
      <w:r w:rsidR="00483ACA" w:rsidRPr="004358C8">
        <w:rPr>
          <w:rFonts w:ascii="Arial" w:hAnsi="Arial" w:cs="Arial"/>
        </w:rPr>
        <w:t xml:space="preserve"> 61 soci fra cittadini e PMI</w:t>
      </w:r>
      <w:r w:rsidR="00FE456D" w:rsidRPr="004358C8">
        <w:rPr>
          <w:rFonts w:ascii="Arial" w:hAnsi="Arial" w:cs="Arial"/>
        </w:rPr>
        <w:t xml:space="preserve"> che producono energia tramite </w:t>
      </w:r>
      <w:r w:rsidR="00483ACA" w:rsidRPr="004358C8">
        <w:rPr>
          <w:rFonts w:ascii="Arial" w:hAnsi="Arial" w:cs="Arial"/>
        </w:rPr>
        <w:t xml:space="preserve">due impianti fotovoltaici di 11kW e 60 kW. </w:t>
      </w:r>
    </w:p>
    <w:p w14:paraId="099AC440" w14:textId="45ADAF5B" w:rsidR="00625976" w:rsidRPr="004358C8" w:rsidRDefault="003C174A" w:rsidP="006C7B71">
      <w:pPr>
        <w:pStyle w:val="Paragrafoelenco"/>
        <w:numPr>
          <w:ilvl w:val="0"/>
          <w:numId w:val="2"/>
        </w:numPr>
        <w:rPr>
          <w:rFonts w:ascii="Arial" w:hAnsi="Arial" w:cs="Arial"/>
        </w:rPr>
      </w:pPr>
      <w:r w:rsidRPr="004358C8">
        <w:rPr>
          <w:rFonts w:ascii="Arial" w:hAnsi="Arial" w:cs="Arial"/>
          <w:b/>
          <w:bCs/>
        </w:rPr>
        <w:t>MODELLO MUNICIPALE</w:t>
      </w:r>
      <w:r w:rsidRPr="004358C8">
        <w:rPr>
          <w:rFonts w:ascii="Arial" w:hAnsi="Arial" w:cs="Arial"/>
        </w:rPr>
        <w:t xml:space="preserve"> [CER]</w:t>
      </w:r>
      <w:r w:rsidR="00E47FE0" w:rsidRPr="004358C8">
        <w:rPr>
          <w:rFonts w:ascii="Arial" w:hAnsi="Arial" w:cs="Arial"/>
        </w:rPr>
        <w:t xml:space="preserve"> </w:t>
      </w:r>
      <w:r w:rsidR="00956330" w:rsidRPr="004358C8">
        <w:rPr>
          <w:rFonts w:ascii="Arial" w:hAnsi="Arial" w:cs="Arial"/>
        </w:rPr>
        <w:t xml:space="preserve">è </w:t>
      </w:r>
      <w:r w:rsidR="00E47FE0" w:rsidRPr="004358C8">
        <w:rPr>
          <w:rFonts w:ascii="Arial" w:hAnsi="Arial" w:cs="Arial"/>
        </w:rPr>
        <w:t>solitamente p</w:t>
      </w:r>
      <w:r w:rsidRPr="004358C8">
        <w:rPr>
          <w:rFonts w:ascii="Arial" w:hAnsi="Arial" w:cs="Arial"/>
        </w:rPr>
        <w:t xml:space="preserve">romosso e finanziato </w:t>
      </w:r>
      <w:r w:rsidR="00E47FE0" w:rsidRPr="004358C8">
        <w:rPr>
          <w:rFonts w:ascii="Arial" w:hAnsi="Arial" w:cs="Arial"/>
        </w:rPr>
        <w:t>dalla PA</w:t>
      </w:r>
      <w:r w:rsidR="00956330" w:rsidRPr="004358C8">
        <w:rPr>
          <w:rFonts w:ascii="Arial" w:hAnsi="Arial" w:cs="Arial"/>
        </w:rPr>
        <w:t xml:space="preserve"> e</w:t>
      </w:r>
      <w:r w:rsidRPr="004358C8">
        <w:rPr>
          <w:rFonts w:ascii="Arial" w:hAnsi="Arial" w:cs="Arial"/>
        </w:rPr>
        <w:t xml:space="preserve"> si rivolge agli</w:t>
      </w:r>
      <w:r w:rsidR="00E47FE0" w:rsidRPr="004358C8">
        <w:rPr>
          <w:rFonts w:ascii="Arial" w:hAnsi="Arial" w:cs="Arial"/>
        </w:rPr>
        <w:t xml:space="preserve"> </w:t>
      </w:r>
      <w:r w:rsidRPr="004358C8">
        <w:rPr>
          <w:rFonts w:ascii="Arial" w:hAnsi="Arial" w:cs="Arial"/>
        </w:rPr>
        <w:t>edifici comunali, ai cittadini e</w:t>
      </w:r>
      <w:r w:rsidR="00956330" w:rsidRPr="004358C8">
        <w:rPr>
          <w:rFonts w:ascii="Arial" w:hAnsi="Arial" w:cs="Arial"/>
        </w:rPr>
        <w:t>/o</w:t>
      </w:r>
      <w:r w:rsidRPr="004358C8">
        <w:rPr>
          <w:rFonts w:ascii="Arial" w:hAnsi="Arial" w:cs="Arial"/>
        </w:rPr>
        <w:t xml:space="preserve"> commercianti locali. </w:t>
      </w:r>
      <w:r w:rsidR="008770D0" w:rsidRPr="004358C8">
        <w:rPr>
          <w:rFonts w:ascii="Arial" w:hAnsi="Arial" w:cs="Arial"/>
        </w:rPr>
        <w:t xml:space="preserve">Un esempio di modello municipale è la CER di </w:t>
      </w:r>
      <w:proofErr w:type="spellStart"/>
      <w:r w:rsidR="008770D0" w:rsidRPr="004358C8">
        <w:rPr>
          <w:rFonts w:ascii="Arial" w:hAnsi="Arial" w:cs="Arial"/>
        </w:rPr>
        <w:t>Solisca</w:t>
      </w:r>
      <w:proofErr w:type="spellEnd"/>
      <w:r w:rsidR="00B61025" w:rsidRPr="004358C8">
        <w:rPr>
          <w:rFonts w:ascii="Arial" w:hAnsi="Arial" w:cs="Arial"/>
        </w:rPr>
        <w:t xml:space="preserve"> (</w:t>
      </w:r>
      <w:r w:rsidR="009B31C5" w:rsidRPr="004358C8">
        <w:rPr>
          <w:rFonts w:ascii="Arial" w:hAnsi="Arial" w:cs="Arial"/>
        </w:rPr>
        <w:t>p</w:t>
      </w:r>
      <w:r w:rsidR="00B61025" w:rsidRPr="004358C8">
        <w:rPr>
          <w:rFonts w:ascii="Arial" w:hAnsi="Arial" w:cs="Arial"/>
        </w:rPr>
        <w:t xml:space="preserve">otenza di </w:t>
      </w:r>
      <w:r w:rsidR="009B31C5" w:rsidRPr="004358C8">
        <w:rPr>
          <w:rFonts w:ascii="Arial" w:hAnsi="Arial" w:cs="Arial"/>
        </w:rPr>
        <w:t>46 kW)</w:t>
      </w:r>
      <w:r w:rsidR="008770D0" w:rsidRPr="004358C8">
        <w:rPr>
          <w:rFonts w:ascii="Arial" w:hAnsi="Arial" w:cs="Arial"/>
        </w:rPr>
        <w:t xml:space="preserve"> </w:t>
      </w:r>
      <w:r w:rsidR="00B61025" w:rsidRPr="004358C8">
        <w:rPr>
          <w:rFonts w:ascii="Arial" w:hAnsi="Arial" w:cs="Arial"/>
        </w:rPr>
        <w:t>finanziata da Sorgenia e</w:t>
      </w:r>
      <w:r w:rsidR="00625976" w:rsidRPr="004358C8">
        <w:rPr>
          <w:rFonts w:ascii="Arial" w:hAnsi="Arial" w:cs="Arial"/>
        </w:rPr>
        <w:t xml:space="preserve"> </w:t>
      </w:r>
      <w:r w:rsidR="00B61025" w:rsidRPr="004358C8">
        <w:rPr>
          <w:rFonts w:ascii="Arial" w:hAnsi="Arial" w:cs="Arial"/>
        </w:rPr>
        <w:t>composta da</w:t>
      </w:r>
      <w:r w:rsidR="00625976" w:rsidRPr="004358C8">
        <w:rPr>
          <w:rFonts w:ascii="Arial" w:hAnsi="Arial" w:cs="Arial"/>
        </w:rPr>
        <w:t xml:space="preserve"> 23 utenze residenziali, la Parrocchia e altre 7 utenze comunali. </w:t>
      </w:r>
    </w:p>
    <w:p w14:paraId="2309A6EC" w14:textId="4455807A" w:rsidR="00CD1EAE" w:rsidRPr="004358C8" w:rsidRDefault="00CD1EAE" w:rsidP="00C71FC2">
      <w:pPr>
        <w:jc w:val="both"/>
        <w:rPr>
          <w:rFonts w:ascii="Arial" w:hAnsi="Arial" w:cs="Arial"/>
        </w:rPr>
      </w:pPr>
    </w:p>
    <w:p w14:paraId="4F6EF8FD" w14:textId="362B7DC5" w:rsidR="009233DF" w:rsidRPr="004358C8" w:rsidRDefault="00892DC3" w:rsidP="00C71FC2">
      <w:pPr>
        <w:jc w:val="both"/>
        <w:rPr>
          <w:rFonts w:ascii="Arial" w:hAnsi="Arial" w:cs="Arial"/>
        </w:rPr>
      </w:pPr>
      <w:r w:rsidRPr="004358C8">
        <w:rPr>
          <w:rFonts w:ascii="Arial" w:hAnsi="Arial" w:cs="Arial"/>
        </w:rPr>
        <w:t xml:space="preserve">In Italia la creazione di comunità energetiche è rallentata da </w:t>
      </w:r>
      <w:proofErr w:type="spellStart"/>
      <w:r w:rsidRPr="004358C8">
        <w:rPr>
          <w:rFonts w:ascii="Arial" w:hAnsi="Arial" w:cs="Arial"/>
        </w:rPr>
        <w:t>roadblock</w:t>
      </w:r>
      <w:proofErr w:type="spellEnd"/>
      <w:r w:rsidRPr="004358C8">
        <w:rPr>
          <w:rFonts w:ascii="Arial" w:hAnsi="Arial" w:cs="Arial"/>
        </w:rPr>
        <w:t xml:space="preserve"> normativi e dalla mancanza di uno stakeholder di riferimento in grado di promuovere l’aggregazione e gestire le comunità in modo strutturato</w:t>
      </w:r>
      <w:r w:rsidR="00467A01" w:rsidRPr="004358C8">
        <w:rPr>
          <w:rFonts w:ascii="Arial" w:hAnsi="Arial" w:cs="Arial"/>
        </w:rPr>
        <w:t>.</w:t>
      </w:r>
      <w:r w:rsidRPr="004358C8">
        <w:rPr>
          <w:rFonts w:ascii="Arial" w:hAnsi="Arial" w:cs="Arial"/>
        </w:rPr>
        <w:t xml:space="preserve"> In particolar modo, le principali </w:t>
      </w:r>
      <w:r w:rsidR="00CD1EAE" w:rsidRPr="004358C8">
        <w:rPr>
          <w:rFonts w:ascii="Arial" w:hAnsi="Arial" w:cs="Arial"/>
          <w:b/>
          <w:bCs/>
        </w:rPr>
        <w:t>aree di miglioramento</w:t>
      </w:r>
      <w:r w:rsidR="00CD1EAE" w:rsidRPr="004358C8">
        <w:rPr>
          <w:rFonts w:ascii="Arial" w:hAnsi="Arial" w:cs="Arial"/>
        </w:rPr>
        <w:t xml:space="preserve"> </w:t>
      </w:r>
      <w:r w:rsidRPr="004358C8">
        <w:rPr>
          <w:rFonts w:ascii="Arial" w:hAnsi="Arial" w:cs="Arial"/>
        </w:rPr>
        <w:t>riguardano</w:t>
      </w:r>
      <w:r w:rsidR="00CD1EAE" w:rsidRPr="004358C8">
        <w:rPr>
          <w:rFonts w:ascii="Arial" w:hAnsi="Arial" w:cs="Arial"/>
        </w:rPr>
        <w:t>:</w:t>
      </w:r>
    </w:p>
    <w:p w14:paraId="288A6253" w14:textId="0EBAA98F" w:rsidR="009233DF" w:rsidRPr="004358C8" w:rsidRDefault="008975E7" w:rsidP="009233DF">
      <w:pPr>
        <w:pStyle w:val="Paragrafoelenco"/>
        <w:numPr>
          <w:ilvl w:val="0"/>
          <w:numId w:val="22"/>
        </w:numPr>
        <w:jc w:val="both"/>
        <w:rPr>
          <w:rFonts w:ascii="Arial" w:hAnsi="Arial" w:cs="Arial"/>
        </w:rPr>
      </w:pPr>
      <w:r w:rsidRPr="004358C8">
        <w:rPr>
          <w:rFonts w:ascii="Arial" w:hAnsi="Arial" w:cs="Arial"/>
        </w:rPr>
        <w:t>m</w:t>
      </w:r>
      <w:r w:rsidR="009233DF" w:rsidRPr="004358C8">
        <w:rPr>
          <w:rFonts w:ascii="Arial" w:hAnsi="Arial" w:cs="Arial"/>
        </w:rPr>
        <w:t>odalità di aggregazione bottom-up destrutturata</w:t>
      </w:r>
    </w:p>
    <w:p w14:paraId="0244F123" w14:textId="04A2AE50" w:rsidR="009233DF" w:rsidRPr="004358C8" w:rsidRDefault="00CD1EAE" w:rsidP="009233DF">
      <w:pPr>
        <w:pStyle w:val="Paragrafoelenco"/>
        <w:numPr>
          <w:ilvl w:val="0"/>
          <w:numId w:val="22"/>
        </w:numPr>
        <w:jc w:val="both"/>
        <w:rPr>
          <w:rFonts w:ascii="Arial" w:hAnsi="Arial" w:cs="Arial"/>
        </w:rPr>
      </w:pPr>
      <w:r w:rsidRPr="004358C8">
        <w:rPr>
          <w:rFonts w:ascii="Arial" w:hAnsi="Arial" w:cs="Arial"/>
        </w:rPr>
        <w:t>un modello di set-up poco scalabile e non standardizzato</w:t>
      </w:r>
    </w:p>
    <w:p w14:paraId="4E71E05A" w14:textId="7005EA6F" w:rsidR="00F470D9" w:rsidRPr="004358C8" w:rsidRDefault="00CD1EAE" w:rsidP="009233DF">
      <w:pPr>
        <w:pStyle w:val="Paragrafoelenco"/>
        <w:numPr>
          <w:ilvl w:val="0"/>
          <w:numId w:val="22"/>
        </w:numPr>
        <w:jc w:val="both"/>
        <w:rPr>
          <w:rFonts w:ascii="Arial" w:hAnsi="Arial" w:cs="Arial"/>
        </w:rPr>
      </w:pPr>
      <w:r w:rsidRPr="004358C8">
        <w:rPr>
          <w:rFonts w:ascii="Arial" w:hAnsi="Arial" w:cs="Arial"/>
        </w:rPr>
        <w:t>un iter burocratico e operativo ancora troppo complesso</w:t>
      </w:r>
      <w:r w:rsidR="00F470D9" w:rsidRPr="004358C8">
        <w:rPr>
          <w:rFonts w:ascii="Arial" w:hAnsi="Arial" w:cs="Arial"/>
        </w:rPr>
        <w:t xml:space="preserve"> sia per la fase di costituzione che nei rapporti con il GSE</w:t>
      </w:r>
    </w:p>
    <w:p w14:paraId="13863DDA" w14:textId="305F9E55" w:rsidR="00F470D9" w:rsidRPr="004358C8" w:rsidRDefault="00CD1EAE" w:rsidP="009233DF">
      <w:pPr>
        <w:pStyle w:val="Paragrafoelenco"/>
        <w:numPr>
          <w:ilvl w:val="0"/>
          <w:numId w:val="22"/>
        </w:numPr>
        <w:jc w:val="both"/>
        <w:rPr>
          <w:rFonts w:ascii="Arial" w:hAnsi="Arial" w:cs="Arial"/>
        </w:rPr>
      </w:pPr>
      <w:r w:rsidRPr="004358C8">
        <w:rPr>
          <w:rFonts w:ascii="Arial" w:hAnsi="Arial" w:cs="Arial"/>
        </w:rPr>
        <w:t>limitate competenze dei gestori</w:t>
      </w:r>
    </w:p>
    <w:p w14:paraId="6F362499" w14:textId="77777777" w:rsidR="00F470D9" w:rsidRPr="004358C8" w:rsidRDefault="00CD1EAE" w:rsidP="009233DF">
      <w:pPr>
        <w:pStyle w:val="Paragrafoelenco"/>
        <w:numPr>
          <w:ilvl w:val="0"/>
          <w:numId w:val="22"/>
        </w:numPr>
        <w:jc w:val="both"/>
        <w:rPr>
          <w:rFonts w:ascii="Arial" w:hAnsi="Arial" w:cs="Arial"/>
        </w:rPr>
      </w:pPr>
      <w:r w:rsidRPr="004358C8">
        <w:rPr>
          <w:rFonts w:ascii="Arial" w:hAnsi="Arial" w:cs="Arial"/>
        </w:rPr>
        <w:t>limitata volontà di investire dei soggetti coinvolti</w:t>
      </w:r>
    </w:p>
    <w:p w14:paraId="1F2EB2DF" w14:textId="32E1627E" w:rsidR="00CD1EAE" w:rsidRPr="004358C8" w:rsidRDefault="00CD1EAE" w:rsidP="009233DF">
      <w:pPr>
        <w:pStyle w:val="Paragrafoelenco"/>
        <w:numPr>
          <w:ilvl w:val="0"/>
          <w:numId w:val="22"/>
        </w:numPr>
        <w:jc w:val="both"/>
        <w:rPr>
          <w:rFonts w:ascii="Arial" w:hAnsi="Arial" w:cs="Arial"/>
        </w:rPr>
      </w:pPr>
      <w:r w:rsidRPr="004358C8">
        <w:rPr>
          <w:rFonts w:ascii="Arial" w:hAnsi="Arial" w:cs="Arial"/>
        </w:rPr>
        <w:t>scarsa disponibilità di impiantisti</w:t>
      </w:r>
      <w:r w:rsidR="00F470D9" w:rsidRPr="004358C8">
        <w:rPr>
          <w:rFonts w:ascii="Arial" w:hAnsi="Arial" w:cs="Arial"/>
        </w:rPr>
        <w:t xml:space="preserve"> e materiali</w:t>
      </w:r>
    </w:p>
    <w:p w14:paraId="78683E0C" w14:textId="77777777" w:rsidR="00CD1EAE" w:rsidRPr="004358C8" w:rsidRDefault="00CD1EAE" w:rsidP="00C71FC2">
      <w:pPr>
        <w:jc w:val="both"/>
        <w:rPr>
          <w:rFonts w:ascii="Arial" w:hAnsi="Arial" w:cs="Arial"/>
        </w:rPr>
      </w:pPr>
    </w:p>
    <w:p w14:paraId="68D68AB1" w14:textId="77777777" w:rsidR="008D6992" w:rsidRPr="004358C8" w:rsidRDefault="008D6992" w:rsidP="00C71FC2">
      <w:pPr>
        <w:jc w:val="both"/>
        <w:rPr>
          <w:rFonts w:ascii="Arial" w:hAnsi="Arial" w:cs="Arial"/>
          <w:b/>
          <w:bCs/>
          <w:sz w:val="24"/>
          <w:szCs w:val="24"/>
          <w:u w:val="single"/>
        </w:rPr>
      </w:pPr>
    </w:p>
    <w:p w14:paraId="60193622" w14:textId="2EB5E0BF" w:rsidR="00CD1EAE" w:rsidRPr="004358C8" w:rsidRDefault="008975E7" w:rsidP="00C71FC2">
      <w:pPr>
        <w:jc w:val="both"/>
        <w:rPr>
          <w:rFonts w:ascii="Arial" w:hAnsi="Arial" w:cs="Arial"/>
          <w:b/>
          <w:bCs/>
          <w:sz w:val="24"/>
          <w:szCs w:val="24"/>
        </w:rPr>
      </w:pPr>
      <w:r w:rsidRPr="004358C8">
        <w:rPr>
          <w:rFonts w:ascii="Arial" w:hAnsi="Arial" w:cs="Arial"/>
          <w:b/>
          <w:bCs/>
          <w:sz w:val="24"/>
          <w:szCs w:val="24"/>
        </w:rPr>
        <w:t>QUALE</w:t>
      </w:r>
      <w:r w:rsidR="000D23FE" w:rsidRPr="004358C8">
        <w:rPr>
          <w:rFonts w:ascii="Arial" w:hAnsi="Arial" w:cs="Arial"/>
          <w:b/>
          <w:bCs/>
          <w:sz w:val="24"/>
          <w:szCs w:val="24"/>
        </w:rPr>
        <w:t xml:space="preserve"> </w:t>
      </w:r>
      <w:r w:rsidR="00CD1EAE" w:rsidRPr="004358C8">
        <w:rPr>
          <w:rFonts w:ascii="Arial" w:hAnsi="Arial" w:cs="Arial"/>
          <w:b/>
          <w:bCs/>
          <w:sz w:val="24"/>
          <w:szCs w:val="24"/>
        </w:rPr>
        <w:t xml:space="preserve">RUOLO </w:t>
      </w:r>
      <w:r w:rsidRPr="004358C8">
        <w:rPr>
          <w:rFonts w:ascii="Arial" w:hAnsi="Arial" w:cs="Arial"/>
          <w:b/>
          <w:bCs/>
          <w:sz w:val="24"/>
          <w:szCs w:val="24"/>
        </w:rPr>
        <w:t>PER LE</w:t>
      </w:r>
      <w:r w:rsidR="00CD1EAE" w:rsidRPr="004358C8">
        <w:rPr>
          <w:rFonts w:ascii="Arial" w:hAnsi="Arial" w:cs="Arial"/>
          <w:b/>
          <w:bCs/>
          <w:sz w:val="24"/>
          <w:szCs w:val="24"/>
        </w:rPr>
        <w:t xml:space="preserve"> UTILITY</w:t>
      </w:r>
      <w:r w:rsidR="002833CF" w:rsidRPr="004358C8">
        <w:rPr>
          <w:rFonts w:ascii="Arial" w:hAnsi="Arial" w:cs="Arial"/>
          <w:b/>
          <w:bCs/>
          <w:sz w:val="24"/>
          <w:szCs w:val="24"/>
        </w:rPr>
        <w:t xml:space="preserve"> NELLA DIFFUSIONE DELLE CER</w:t>
      </w:r>
      <w:r w:rsidRPr="004358C8">
        <w:rPr>
          <w:rFonts w:ascii="Arial" w:hAnsi="Arial" w:cs="Arial"/>
          <w:b/>
          <w:bCs/>
          <w:sz w:val="24"/>
          <w:szCs w:val="24"/>
        </w:rPr>
        <w:t>?</w:t>
      </w:r>
    </w:p>
    <w:p w14:paraId="067FED3B" w14:textId="77777777" w:rsidR="000A60DB" w:rsidRPr="004358C8" w:rsidRDefault="000A60DB" w:rsidP="006C7B71">
      <w:pPr>
        <w:rPr>
          <w:rFonts w:ascii="Arial" w:hAnsi="Arial" w:cs="Arial"/>
        </w:rPr>
      </w:pPr>
    </w:p>
    <w:p w14:paraId="4E69292E" w14:textId="0E5566C4" w:rsidR="0088043B" w:rsidRPr="004358C8" w:rsidRDefault="0088043B" w:rsidP="00C71FC2">
      <w:pPr>
        <w:jc w:val="both"/>
        <w:rPr>
          <w:rFonts w:ascii="Arial" w:hAnsi="Arial" w:cs="Arial"/>
        </w:rPr>
      </w:pPr>
      <w:r w:rsidRPr="004358C8">
        <w:rPr>
          <w:rFonts w:ascii="Arial" w:hAnsi="Arial" w:cs="Arial"/>
        </w:rPr>
        <w:t xml:space="preserve">Complessivamente </w:t>
      </w:r>
      <w:r w:rsidRPr="004358C8">
        <w:rPr>
          <w:rFonts w:ascii="Arial" w:hAnsi="Arial" w:cs="Arial"/>
          <w:b/>
          <w:bCs/>
        </w:rPr>
        <w:t xml:space="preserve">buona parte dei player utility italiani ha </w:t>
      </w:r>
      <w:r w:rsidR="00783D4C" w:rsidRPr="004358C8">
        <w:rPr>
          <w:rFonts w:ascii="Arial" w:hAnsi="Arial" w:cs="Arial"/>
          <w:b/>
          <w:bCs/>
        </w:rPr>
        <w:t xml:space="preserve">già </w:t>
      </w:r>
      <w:r w:rsidRPr="004358C8">
        <w:rPr>
          <w:rFonts w:ascii="Arial" w:hAnsi="Arial" w:cs="Arial"/>
          <w:b/>
          <w:bCs/>
        </w:rPr>
        <w:t xml:space="preserve">sviluppato </w:t>
      </w:r>
      <w:r w:rsidR="00D9606D" w:rsidRPr="004358C8">
        <w:rPr>
          <w:rFonts w:ascii="Arial" w:hAnsi="Arial" w:cs="Arial"/>
          <w:b/>
          <w:bCs/>
        </w:rPr>
        <w:t>un’offerta</w:t>
      </w:r>
      <w:r w:rsidRPr="004358C8">
        <w:rPr>
          <w:rFonts w:ascii="Arial" w:hAnsi="Arial" w:cs="Arial"/>
        </w:rPr>
        <w:t xml:space="preserve"> in ambito AUC/CER </w:t>
      </w:r>
      <w:r w:rsidR="00783D4C" w:rsidRPr="004358C8">
        <w:rPr>
          <w:rFonts w:ascii="Arial" w:hAnsi="Arial" w:cs="Arial"/>
        </w:rPr>
        <w:t xml:space="preserve">offrendo non solo </w:t>
      </w:r>
      <w:r w:rsidRPr="004358C8">
        <w:rPr>
          <w:rFonts w:ascii="Arial" w:hAnsi="Arial" w:cs="Arial"/>
        </w:rPr>
        <w:t xml:space="preserve">servizi di partnership tecnica (vendita, installazione e manutenzione), ma anche di supporto amministrativo/contrattuale e gestionale. </w:t>
      </w:r>
    </w:p>
    <w:p w14:paraId="1992BD12" w14:textId="77777777" w:rsidR="00043F09" w:rsidRPr="004358C8" w:rsidRDefault="00043F09" w:rsidP="00C71FC2">
      <w:pPr>
        <w:jc w:val="both"/>
        <w:rPr>
          <w:rFonts w:ascii="Arial" w:hAnsi="Arial" w:cs="Arial"/>
        </w:rPr>
      </w:pPr>
    </w:p>
    <w:p w14:paraId="2393F590" w14:textId="7002AA3C" w:rsidR="00043F09" w:rsidRPr="004358C8" w:rsidRDefault="00CD79D9" w:rsidP="00043F09">
      <w:pPr>
        <w:jc w:val="both"/>
        <w:rPr>
          <w:rFonts w:ascii="Arial" w:hAnsi="Arial" w:cs="Arial"/>
        </w:rPr>
      </w:pPr>
      <w:r w:rsidRPr="004358C8">
        <w:rPr>
          <w:rFonts w:ascii="Arial" w:hAnsi="Arial" w:cs="Arial"/>
        </w:rPr>
        <w:t>L</w:t>
      </w:r>
      <w:r w:rsidR="00043F09" w:rsidRPr="004358C8">
        <w:rPr>
          <w:rFonts w:ascii="Arial" w:hAnsi="Arial" w:cs="Arial"/>
        </w:rPr>
        <w:t xml:space="preserve">e utility potrebbero </w:t>
      </w:r>
      <w:r w:rsidR="00965B0C" w:rsidRPr="004358C8">
        <w:rPr>
          <w:rFonts w:ascii="Arial" w:hAnsi="Arial" w:cs="Arial"/>
        </w:rPr>
        <w:t>rafforzare il proprio</w:t>
      </w:r>
      <w:r w:rsidR="00043F09" w:rsidRPr="004358C8">
        <w:rPr>
          <w:rFonts w:ascii="Arial" w:hAnsi="Arial" w:cs="Arial"/>
        </w:rPr>
        <w:t xml:space="preserve"> </w:t>
      </w:r>
      <w:r w:rsidR="00043F09" w:rsidRPr="004358C8">
        <w:rPr>
          <w:rFonts w:ascii="Arial" w:hAnsi="Arial" w:cs="Arial"/>
          <w:b/>
          <w:bCs/>
        </w:rPr>
        <w:t>ruolo chiave nella diffusione delle CER</w:t>
      </w:r>
      <w:r w:rsidR="00043F09" w:rsidRPr="004358C8">
        <w:rPr>
          <w:rFonts w:ascii="Arial" w:hAnsi="Arial" w:cs="Arial"/>
        </w:rPr>
        <w:t xml:space="preserve"> superando le criticità dei modelli esistenti</w:t>
      </w:r>
      <w:r w:rsidRPr="004358C8">
        <w:rPr>
          <w:rFonts w:ascii="Arial" w:hAnsi="Arial" w:cs="Arial"/>
        </w:rPr>
        <w:t xml:space="preserve"> sfruttando le proprie competenze e risorse:</w:t>
      </w:r>
    </w:p>
    <w:p w14:paraId="1F73A504" w14:textId="2CC3E9C5" w:rsidR="00D9606D" w:rsidRPr="004358C8" w:rsidRDefault="00D9606D" w:rsidP="006C7B71">
      <w:pPr>
        <w:pStyle w:val="Paragrafoelenco"/>
        <w:numPr>
          <w:ilvl w:val="0"/>
          <w:numId w:val="24"/>
        </w:numPr>
        <w:jc w:val="both"/>
        <w:rPr>
          <w:rFonts w:ascii="Arial" w:hAnsi="Arial" w:cs="Arial"/>
        </w:rPr>
      </w:pPr>
      <w:r w:rsidRPr="004358C8">
        <w:rPr>
          <w:rFonts w:ascii="Arial" w:hAnsi="Arial" w:cs="Arial"/>
        </w:rPr>
        <w:t>Competenze tecniche</w:t>
      </w:r>
    </w:p>
    <w:p w14:paraId="0685A40B" w14:textId="7D54209A" w:rsidR="00CD79D9" w:rsidRPr="004358C8" w:rsidRDefault="00CD79D9" w:rsidP="006C7B71">
      <w:pPr>
        <w:pStyle w:val="Paragrafoelenco"/>
        <w:numPr>
          <w:ilvl w:val="0"/>
          <w:numId w:val="24"/>
        </w:numPr>
        <w:jc w:val="both"/>
        <w:rPr>
          <w:rFonts w:ascii="Arial" w:hAnsi="Arial" w:cs="Arial"/>
        </w:rPr>
      </w:pPr>
      <w:r w:rsidRPr="004358C8">
        <w:rPr>
          <w:rFonts w:ascii="Arial" w:hAnsi="Arial" w:cs="Arial"/>
        </w:rPr>
        <w:t>Ampia rete commerciale</w:t>
      </w:r>
    </w:p>
    <w:p w14:paraId="4FF2ECCC" w14:textId="344B9A47" w:rsidR="00CD79D9" w:rsidRPr="004358C8" w:rsidRDefault="00CD79D9" w:rsidP="006C7B71">
      <w:pPr>
        <w:pStyle w:val="Paragrafoelenco"/>
        <w:numPr>
          <w:ilvl w:val="0"/>
          <w:numId w:val="24"/>
        </w:numPr>
        <w:jc w:val="both"/>
        <w:rPr>
          <w:rFonts w:ascii="Arial" w:hAnsi="Arial" w:cs="Arial"/>
        </w:rPr>
      </w:pPr>
      <w:r w:rsidRPr="004358C8">
        <w:rPr>
          <w:rFonts w:ascii="Arial" w:hAnsi="Arial" w:cs="Arial"/>
        </w:rPr>
        <w:t>Competenze gestionali e amministrative di settore</w:t>
      </w:r>
    </w:p>
    <w:p w14:paraId="35732DCB" w14:textId="03720095" w:rsidR="00CD79D9" w:rsidRPr="004358C8" w:rsidRDefault="00D9606D" w:rsidP="006C7B71">
      <w:pPr>
        <w:pStyle w:val="Paragrafoelenco"/>
        <w:numPr>
          <w:ilvl w:val="0"/>
          <w:numId w:val="24"/>
        </w:numPr>
        <w:jc w:val="both"/>
        <w:rPr>
          <w:rFonts w:ascii="Arial" w:hAnsi="Arial" w:cs="Arial"/>
        </w:rPr>
      </w:pPr>
      <w:r w:rsidRPr="004358C8">
        <w:rPr>
          <w:rFonts w:ascii="Arial" w:hAnsi="Arial" w:cs="Arial"/>
        </w:rPr>
        <w:t>Accesso ad un e</w:t>
      </w:r>
      <w:r w:rsidR="00CD79D9" w:rsidRPr="004358C8">
        <w:rPr>
          <w:rFonts w:ascii="Arial" w:hAnsi="Arial" w:cs="Arial"/>
        </w:rPr>
        <w:t>cosistema di partner</w:t>
      </w:r>
    </w:p>
    <w:p w14:paraId="2EFB99E9" w14:textId="3D33A425" w:rsidR="00A57539" w:rsidRPr="004358C8" w:rsidRDefault="00A57539" w:rsidP="00C71FC2">
      <w:pPr>
        <w:jc w:val="both"/>
        <w:rPr>
          <w:rFonts w:ascii="Arial" w:hAnsi="Arial" w:cs="Arial"/>
        </w:rPr>
      </w:pPr>
    </w:p>
    <w:p w14:paraId="012CF563" w14:textId="690B7420" w:rsidR="00A57539" w:rsidRPr="004358C8" w:rsidRDefault="00303590" w:rsidP="00C71FC2">
      <w:pPr>
        <w:jc w:val="both"/>
        <w:rPr>
          <w:rFonts w:ascii="Arial" w:hAnsi="Arial" w:cs="Arial"/>
          <w:b/>
          <w:bCs/>
        </w:rPr>
      </w:pPr>
      <w:r w:rsidRPr="004358C8">
        <w:rPr>
          <w:rFonts w:ascii="Arial" w:hAnsi="Arial" w:cs="Arial"/>
          <w:b/>
          <w:bCs/>
        </w:rPr>
        <w:lastRenderedPageBreak/>
        <w:t xml:space="preserve">DUE NUOVI MODELLI </w:t>
      </w:r>
      <w:r w:rsidR="006C7B71" w:rsidRPr="004358C8">
        <w:rPr>
          <w:rFonts w:ascii="Arial" w:hAnsi="Arial" w:cs="Arial"/>
          <w:b/>
          <w:bCs/>
        </w:rPr>
        <w:t>DI COMUNITÀ</w:t>
      </w:r>
      <w:r w:rsidRPr="004358C8">
        <w:rPr>
          <w:rFonts w:ascii="Arial" w:hAnsi="Arial" w:cs="Arial"/>
          <w:b/>
          <w:bCs/>
        </w:rPr>
        <w:t xml:space="preserve"> </w:t>
      </w:r>
    </w:p>
    <w:p w14:paraId="70F4D81D" w14:textId="77777777" w:rsidR="00497811" w:rsidRDefault="00497811" w:rsidP="00C71FC2">
      <w:pPr>
        <w:jc w:val="both"/>
        <w:rPr>
          <w:rFonts w:ascii="Arial" w:hAnsi="Arial" w:cs="Arial"/>
        </w:rPr>
      </w:pPr>
    </w:p>
    <w:p w14:paraId="1A7284B1" w14:textId="77777777" w:rsidR="00630737" w:rsidRDefault="00630737" w:rsidP="00C71FC2">
      <w:pPr>
        <w:jc w:val="both"/>
        <w:rPr>
          <w:rFonts w:ascii="Arial" w:hAnsi="Arial" w:cs="Arial"/>
        </w:rPr>
      </w:pPr>
    </w:p>
    <w:p w14:paraId="41BCFB61" w14:textId="000543D5" w:rsidR="00A57539" w:rsidRPr="004358C8" w:rsidRDefault="00A927A1" w:rsidP="00C71FC2">
      <w:pPr>
        <w:jc w:val="both"/>
        <w:rPr>
          <w:rFonts w:ascii="Arial" w:hAnsi="Arial" w:cs="Arial"/>
        </w:rPr>
      </w:pPr>
      <w:r w:rsidRPr="004358C8">
        <w:rPr>
          <w:rFonts w:ascii="Arial" w:hAnsi="Arial" w:cs="Arial"/>
        </w:rPr>
        <w:t>Nell</w:t>
      </w:r>
      <w:r w:rsidR="00B63B23">
        <w:rPr>
          <w:rFonts w:ascii="Arial" w:hAnsi="Arial" w:cs="Arial"/>
        </w:rPr>
        <w:t xml:space="preserve">’analisi </w:t>
      </w:r>
      <w:r w:rsidRPr="004358C8">
        <w:rPr>
          <w:rFonts w:ascii="Arial" w:hAnsi="Arial" w:cs="Arial"/>
        </w:rPr>
        <w:t xml:space="preserve">vengono proposti due nuovi </w:t>
      </w:r>
      <w:r w:rsidR="00A57539" w:rsidRPr="004358C8">
        <w:rPr>
          <w:rFonts w:ascii="Arial" w:hAnsi="Arial" w:cs="Arial"/>
        </w:rPr>
        <w:t>modelli</w:t>
      </w:r>
      <w:r w:rsidR="0003369F" w:rsidRPr="004358C8">
        <w:rPr>
          <w:rFonts w:ascii="Arial" w:hAnsi="Arial" w:cs="Arial"/>
        </w:rPr>
        <w:t xml:space="preserve"> (in aggiunta alle configurazioni esistenti)</w:t>
      </w:r>
      <w:r w:rsidR="00A57539" w:rsidRPr="004358C8">
        <w:rPr>
          <w:rFonts w:ascii="Arial" w:hAnsi="Arial" w:cs="Arial"/>
        </w:rPr>
        <w:t xml:space="preserve"> maggiormente scalabili, anche attraverso il ruolo più centrale delle </w:t>
      </w:r>
      <w:r w:rsidR="00DE17C0" w:rsidRPr="004358C8">
        <w:rPr>
          <w:rFonts w:ascii="Arial" w:hAnsi="Arial" w:cs="Arial"/>
        </w:rPr>
        <w:t>u</w:t>
      </w:r>
      <w:r w:rsidR="00A57539" w:rsidRPr="004358C8">
        <w:rPr>
          <w:rFonts w:ascii="Arial" w:hAnsi="Arial" w:cs="Arial"/>
        </w:rPr>
        <w:t xml:space="preserve">tility per la promozione delle comunità e la governance delle attività amministrative e operative. </w:t>
      </w:r>
    </w:p>
    <w:p w14:paraId="5A105E8E" w14:textId="77777777" w:rsidR="00391508" w:rsidRPr="004358C8" w:rsidRDefault="00391508" w:rsidP="00C71FC2">
      <w:pPr>
        <w:jc w:val="both"/>
        <w:rPr>
          <w:rFonts w:ascii="Arial" w:hAnsi="Arial" w:cs="Arial"/>
        </w:rPr>
      </w:pPr>
    </w:p>
    <w:p w14:paraId="21CEF28A" w14:textId="6D0314AA" w:rsidR="00A3217E" w:rsidRPr="004358C8" w:rsidRDefault="00467A01" w:rsidP="00A3217E">
      <w:pPr>
        <w:pStyle w:val="Paragrafoelenco"/>
        <w:numPr>
          <w:ilvl w:val="0"/>
          <w:numId w:val="24"/>
        </w:numPr>
        <w:jc w:val="both"/>
        <w:rPr>
          <w:rFonts w:ascii="Arial" w:hAnsi="Arial" w:cs="Arial"/>
        </w:rPr>
      </w:pPr>
      <w:r w:rsidRPr="004358C8">
        <w:rPr>
          <w:rFonts w:ascii="Arial" w:hAnsi="Arial" w:cs="Arial"/>
          <w:b/>
          <w:bCs/>
        </w:rPr>
        <w:t xml:space="preserve">MODELLO </w:t>
      </w:r>
      <w:r w:rsidR="00A57539" w:rsidRPr="004358C8">
        <w:rPr>
          <w:rFonts w:ascii="Arial" w:hAnsi="Arial" w:cs="Arial"/>
          <w:b/>
          <w:bCs/>
        </w:rPr>
        <w:t>INDUSTRIALE</w:t>
      </w:r>
      <w:r w:rsidR="006C7B71" w:rsidRPr="004358C8">
        <w:rPr>
          <w:rFonts w:ascii="Arial" w:hAnsi="Arial" w:cs="Arial"/>
          <w:b/>
          <w:bCs/>
        </w:rPr>
        <w:t xml:space="preserve"> </w:t>
      </w:r>
      <w:r w:rsidRPr="004358C8">
        <w:rPr>
          <w:rFonts w:ascii="Arial" w:hAnsi="Arial" w:cs="Arial"/>
        </w:rPr>
        <w:t xml:space="preserve">[CER] </w:t>
      </w:r>
      <w:r w:rsidR="006C7B71" w:rsidRPr="004358C8">
        <w:rPr>
          <w:rFonts w:ascii="Arial" w:hAnsi="Arial" w:cs="Arial"/>
        </w:rPr>
        <w:t>p</w:t>
      </w:r>
      <w:r w:rsidR="00A57539" w:rsidRPr="004358C8">
        <w:rPr>
          <w:rFonts w:ascii="Arial" w:hAnsi="Arial" w:cs="Arial"/>
        </w:rPr>
        <w:t xml:space="preserve">romosso da un player energetico e rivolto </w:t>
      </w:r>
      <w:r w:rsidR="008E638A" w:rsidRPr="004358C8">
        <w:rPr>
          <w:rFonts w:ascii="Arial" w:hAnsi="Arial" w:cs="Arial"/>
        </w:rPr>
        <w:t xml:space="preserve">con un </w:t>
      </w:r>
      <w:proofErr w:type="spellStart"/>
      <w:r w:rsidR="008E638A" w:rsidRPr="004358C8">
        <w:rPr>
          <w:rFonts w:ascii="Arial" w:hAnsi="Arial" w:cs="Arial"/>
        </w:rPr>
        <w:t>offering</w:t>
      </w:r>
      <w:proofErr w:type="spellEnd"/>
      <w:r w:rsidR="008E638A" w:rsidRPr="004358C8">
        <w:rPr>
          <w:rFonts w:ascii="Arial" w:hAnsi="Arial" w:cs="Arial"/>
        </w:rPr>
        <w:t xml:space="preserve"> dedicata </w:t>
      </w:r>
      <w:r w:rsidR="00A57539" w:rsidRPr="004358C8">
        <w:rPr>
          <w:rFonts w:ascii="Arial" w:hAnsi="Arial" w:cs="Arial"/>
        </w:rPr>
        <w:t xml:space="preserve">a distretti industriali/manifatturieri o </w:t>
      </w:r>
      <w:r w:rsidR="00690356" w:rsidRPr="004358C8">
        <w:rPr>
          <w:rFonts w:ascii="Arial" w:hAnsi="Arial" w:cs="Arial"/>
        </w:rPr>
        <w:t>al</w:t>
      </w:r>
      <w:r w:rsidR="00A57539" w:rsidRPr="004358C8">
        <w:rPr>
          <w:rFonts w:ascii="Arial" w:hAnsi="Arial" w:cs="Arial"/>
        </w:rPr>
        <w:t>la PA</w:t>
      </w:r>
      <w:r w:rsidR="004E4968" w:rsidRPr="004358C8">
        <w:rPr>
          <w:rFonts w:ascii="Arial" w:hAnsi="Arial" w:cs="Arial"/>
        </w:rPr>
        <w:t>. Il finanziamento dell’impianto potrebbe essere a carico del</w:t>
      </w:r>
      <w:r w:rsidR="00A57539" w:rsidRPr="004358C8">
        <w:rPr>
          <w:rFonts w:ascii="Arial" w:hAnsi="Arial" w:cs="Arial"/>
        </w:rPr>
        <w:t>le imprese partecipanti o</w:t>
      </w:r>
      <w:r w:rsidR="00E45DBA" w:rsidRPr="004358C8">
        <w:rPr>
          <w:rFonts w:ascii="Arial" w:hAnsi="Arial" w:cs="Arial"/>
        </w:rPr>
        <w:t xml:space="preserve"> de</w:t>
      </w:r>
      <w:r w:rsidR="00473201" w:rsidRPr="004358C8">
        <w:rPr>
          <w:rFonts w:ascii="Arial" w:hAnsi="Arial" w:cs="Arial"/>
        </w:rPr>
        <w:t>l</w:t>
      </w:r>
      <w:r w:rsidR="00A57539" w:rsidRPr="004358C8">
        <w:rPr>
          <w:rFonts w:ascii="Arial" w:hAnsi="Arial" w:cs="Arial"/>
        </w:rPr>
        <w:t xml:space="preserve"> player energetico</w:t>
      </w:r>
      <w:r w:rsidR="00473201" w:rsidRPr="004358C8">
        <w:rPr>
          <w:rFonts w:ascii="Arial" w:hAnsi="Arial" w:cs="Arial"/>
        </w:rPr>
        <w:t xml:space="preserve"> stesso</w:t>
      </w:r>
      <w:r w:rsidR="00A57539" w:rsidRPr="004358C8">
        <w:rPr>
          <w:rFonts w:ascii="Arial" w:hAnsi="Arial" w:cs="Arial"/>
        </w:rPr>
        <w:t xml:space="preserve">. </w:t>
      </w:r>
      <w:r w:rsidR="00B651EB" w:rsidRPr="004358C8">
        <w:rPr>
          <w:rFonts w:ascii="Arial" w:hAnsi="Arial" w:cs="Arial"/>
        </w:rPr>
        <w:t xml:space="preserve">Un esempio di modello industriale è la CER di Crema (potenza di 2,1 MW) </w:t>
      </w:r>
      <w:r w:rsidR="00FD6D48" w:rsidRPr="004358C8">
        <w:rPr>
          <w:rFonts w:ascii="Arial" w:hAnsi="Arial" w:cs="Arial"/>
        </w:rPr>
        <w:t>destinata a coprire il fabbisogno energetico di 15 aziende e 189 famiglie.</w:t>
      </w:r>
    </w:p>
    <w:p w14:paraId="52A23D0D" w14:textId="203326F6" w:rsidR="00F76E0C" w:rsidRPr="004358C8" w:rsidRDefault="00A3217E" w:rsidP="00F76E0C">
      <w:pPr>
        <w:pStyle w:val="Paragrafoelenco"/>
        <w:numPr>
          <w:ilvl w:val="0"/>
          <w:numId w:val="24"/>
        </w:numPr>
        <w:jc w:val="both"/>
        <w:rPr>
          <w:rFonts w:ascii="Arial" w:hAnsi="Arial" w:cs="Arial"/>
        </w:rPr>
      </w:pPr>
      <w:r w:rsidRPr="004358C8">
        <w:rPr>
          <w:rFonts w:ascii="Arial" w:hAnsi="Arial" w:cs="Arial"/>
          <w:b/>
          <w:bCs/>
        </w:rPr>
        <w:t xml:space="preserve">MODELLO </w:t>
      </w:r>
      <w:r w:rsidR="00473201" w:rsidRPr="004358C8">
        <w:rPr>
          <w:rFonts w:ascii="Arial" w:hAnsi="Arial" w:cs="Arial"/>
          <w:b/>
          <w:bCs/>
        </w:rPr>
        <w:t>A PIATTAFORMA</w:t>
      </w:r>
      <w:r w:rsidRPr="004358C8">
        <w:rPr>
          <w:rFonts w:ascii="Arial" w:hAnsi="Arial" w:cs="Arial"/>
          <w:b/>
          <w:bCs/>
        </w:rPr>
        <w:t xml:space="preserve"> </w:t>
      </w:r>
      <w:r w:rsidRPr="004358C8">
        <w:rPr>
          <w:rFonts w:ascii="Arial" w:hAnsi="Arial" w:cs="Arial"/>
        </w:rPr>
        <w:t xml:space="preserve">[CER] </w:t>
      </w:r>
      <w:r w:rsidR="00473201" w:rsidRPr="004358C8">
        <w:rPr>
          <w:rFonts w:ascii="Arial" w:hAnsi="Arial" w:cs="Arial"/>
        </w:rPr>
        <w:t>rivolto a cittadini</w:t>
      </w:r>
      <w:r w:rsidR="0042002B" w:rsidRPr="004358C8">
        <w:rPr>
          <w:rFonts w:ascii="Arial" w:hAnsi="Arial" w:cs="Arial"/>
        </w:rPr>
        <w:t xml:space="preserve"> e PMI</w:t>
      </w:r>
      <w:r w:rsidR="0036015A" w:rsidRPr="004358C8">
        <w:rPr>
          <w:rFonts w:ascii="Arial" w:hAnsi="Arial" w:cs="Arial"/>
        </w:rPr>
        <w:t xml:space="preserve"> e promosso e finanziato da un player energetico, che detiene la proprietà dell’impianto</w:t>
      </w:r>
      <w:r w:rsidR="00473201" w:rsidRPr="004358C8">
        <w:rPr>
          <w:rFonts w:ascii="Arial" w:hAnsi="Arial" w:cs="Arial"/>
        </w:rPr>
        <w:t>.</w:t>
      </w:r>
      <w:r w:rsidR="0036015A" w:rsidRPr="004358C8">
        <w:rPr>
          <w:rFonts w:ascii="Arial" w:hAnsi="Arial" w:cs="Arial"/>
        </w:rPr>
        <w:t xml:space="preserve"> I</w:t>
      </w:r>
      <w:r w:rsidR="00A65DEB" w:rsidRPr="004358C8">
        <w:rPr>
          <w:rFonts w:ascii="Arial" w:hAnsi="Arial" w:cs="Arial"/>
        </w:rPr>
        <w:t xml:space="preserve">l modello prevede una fase di aggregazione automatizzata e digitale </w:t>
      </w:r>
      <w:r w:rsidR="003F0F53" w:rsidRPr="004358C8">
        <w:rPr>
          <w:rFonts w:ascii="Arial" w:hAnsi="Arial" w:cs="Arial"/>
        </w:rPr>
        <w:t>(</w:t>
      </w:r>
      <w:r w:rsidR="00A65DEB" w:rsidRPr="004358C8">
        <w:rPr>
          <w:rFonts w:ascii="Arial" w:hAnsi="Arial" w:cs="Arial"/>
        </w:rPr>
        <w:t>anche post-costituzione</w:t>
      </w:r>
      <w:r w:rsidR="003F0F53" w:rsidRPr="004358C8">
        <w:rPr>
          <w:rFonts w:ascii="Arial" w:hAnsi="Arial" w:cs="Arial"/>
        </w:rPr>
        <w:t>)</w:t>
      </w:r>
      <w:r w:rsidR="000F1749" w:rsidRPr="004358C8">
        <w:rPr>
          <w:rFonts w:ascii="Arial" w:hAnsi="Arial" w:cs="Arial"/>
        </w:rPr>
        <w:t xml:space="preserve"> gestita dalla utility</w:t>
      </w:r>
      <w:r w:rsidR="00A65DEB" w:rsidRPr="004358C8">
        <w:rPr>
          <w:rFonts w:ascii="Arial" w:hAnsi="Arial" w:cs="Arial"/>
        </w:rPr>
        <w:t xml:space="preserve">. </w:t>
      </w:r>
      <w:r w:rsidR="0042002B" w:rsidRPr="004358C8">
        <w:rPr>
          <w:rFonts w:ascii="Arial" w:hAnsi="Arial" w:cs="Arial"/>
        </w:rPr>
        <w:t>Un esempio di modello a piattaforma è la CER</w:t>
      </w:r>
      <w:r w:rsidR="007762D8" w:rsidRPr="004358C8">
        <w:rPr>
          <w:rFonts w:ascii="Arial" w:hAnsi="Arial" w:cs="Arial"/>
        </w:rPr>
        <w:t xml:space="preserve"> spagnola TEK Athletic creata </w:t>
      </w:r>
      <w:r w:rsidR="004B230C" w:rsidRPr="004358C8">
        <w:rPr>
          <w:rFonts w:ascii="Arial" w:hAnsi="Arial" w:cs="Arial"/>
        </w:rPr>
        <w:t xml:space="preserve">tramite la piattaforma </w:t>
      </w:r>
      <w:proofErr w:type="spellStart"/>
      <w:r w:rsidR="004B230C" w:rsidRPr="004358C8">
        <w:rPr>
          <w:rFonts w:ascii="Arial" w:hAnsi="Arial" w:cs="Arial"/>
        </w:rPr>
        <w:t>Edinor</w:t>
      </w:r>
      <w:proofErr w:type="spellEnd"/>
      <w:r w:rsidR="000F1749" w:rsidRPr="004358C8">
        <w:rPr>
          <w:rFonts w:ascii="Arial" w:hAnsi="Arial" w:cs="Arial"/>
        </w:rPr>
        <w:t>, parte del gruppo Repsol</w:t>
      </w:r>
      <w:r w:rsidR="007762D8" w:rsidRPr="004358C8">
        <w:rPr>
          <w:rFonts w:ascii="Arial" w:hAnsi="Arial" w:cs="Arial"/>
        </w:rPr>
        <w:t xml:space="preserve"> </w:t>
      </w:r>
      <w:r w:rsidR="0042002B" w:rsidRPr="004358C8">
        <w:rPr>
          <w:rFonts w:ascii="Arial" w:hAnsi="Arial" w:cs="Arial"/>
        </w:rPr>
        <w:t xml:space="preserve">(potenza di </w:t>
      </w:r>
      <w:r w:rsidR="004B230C" w:rsidRPr="004358C8">
        <w:rPr>
          <w:rFonts w:ascii="Arial" w:hAnsi="Arial" w:cs="Arial"/>
        </w:rPr>
        <w:t>120</w:t>
      </w:r>
      <w:r w:rsidR="0042002B" w:rsidRPr="004358C8">
        <w:rPr>
          <w:rFonts w:ascii="Arial" w:hAnsi="Arial" w:cs="Arial"/>
        </w:rPr>
        <w:t xml:space="preserve"> </w:t>
      </w:r>
      <w:r w:rsidR="00F23FF7" w:rsidRPr="004358C8">
        <w:rPr>
          <w:rFonts w:ascii="Arial" w:hAnsi="Arial" w:cs="Arial"/>
        </w:rPr>
        <w:t>k</w:t>
      </w:r>
      <w:r w:rsidR="0042002B" w:rsidRPr="004358C8">
        <w:rPr>
          <w:rFonts w:ascii="Arial" w:hAnsi="Arial" w:cs="Arial"/>
        </w:rPr>
        <w:t>W)</w:t>
      </w:r>
      <w:r w:rsidR="003F0F53" w:rsidRPr="004358C8">
        <w:rPr>
          <w:rFonts w:ascii="Arial" w:hAnsi="Arial" w:cs="Arial"/>
        </w:rPr>
        <w:t xml:space="preserve"> alla quale i cittadini possono aderire pagando una quota</w:t>
      </w:r>
      <w:r w:rsidR="000963B8" w:rsidRPr="004358C8">
        <w:rPr>
          <w:rFonts w:ascii="Arial" w:hAnsi="Arial" w:cs="Arial"/>
        </w:rPr>
        <w:t xml:space="preserve"> di iscrizione e un canone</w:t>
      </w:r>
      <w:r w:rsidR="003F0F53" w:rsidRPr="004358C8">
        <w:rPr>
          <w:rFonts w:ascii="Arial" w:hAnsi="Arial" w:cs="Arial"/>
        </w:rPr>
        <w:t xml:space="preserve"> mensile</w:t>
      </w:r>
      <w:r w:rsidR="000963B8" w:rsidRPr="004358C8">
        <w:rPr>
          <w:rFonts w:ascii="Arial" w:hAnsi="Arial" w:cs="Arial"/>
        </w:rPr>
        <w:t>.</w:t>
      </w:r>
    </w:p>
    <w:p w14:paraId="2D7F5F2E" w14:textId="77777777" w:rsidR="00581EA5" w:rsidRPr="004358C8" w:rsidRDefault="00581EA5" w:rsidP="00C71FC2">
      <w:pPr>
        <w:jc w:val="both"/>
        <w:rPr>
          <w:rFonts w:ascii="Arial" w:hAnsi="Arial" w:cs="Arial"/>
          <w:b/>
          <w:bCs/>
        </w:rPr>
      </w:pPr>
    </w:p>
    <w:p w14:paraId="09033017" w14:textId="4A556BAD" w:rsidR="00C74434" w:rsidRPr="004358C8" w:rsidRDefault="009B3BCE" w:rsidP="00C71FC2">
      <w:pPr>
        <w:jc w:val="both"/>
        <w:rPr>
          <w:rFonts w:ascii="Arial" w:hAnsi="Arial" w:cs="Arial"/>
          <w:b/>
          <w:bCs/>
          <w:sz w:val="24"/>
          <w:szCs w:val="24"/>
        </w:rPr>
      </w:pPr>
      <w:r w:rsidRPr="004358C8">
        <w:rPr>
          <w:rFonts w:ascii="Arial" w:hAnsi="Arial" w:cs="Arial"/>
          <w:b/>
          <w:bCs/>
          <w:sz w:val="24"/>
          <w:szCs w:val="24"/>
        </w:rPr>
        <w:t>QUALI VALORI IN GIOCO PER LE COMUNITÀ?</w:t>
      </w:r>
    </w:p>
    <w:p w14:paraId="719E0E19" w14:textId="477439B0" w:rsidR="00581EA5" w:rsidRPr="004358C8" w:rsidRDefault="00C513DB" w:rsidP="00C71FC2">
      <w:pPr>
        <w:jc w:val="both"/>
        <w:rPr>
          <w:rFonts w:ascii="Arial" w:hAnsi="Arial" w:cs="Arial"/>
        </w:rPr>
      </w:pPr>
      <w:r w:rsidRPr="004358C8">
        <w:rPr>
          <w:rFonts w:ascii="Arial" w:hAnsi="Arial" w:cs="Arial"/>
        </w:rPr>
        <w:t>L</w:t>
      </w:r>
      <w:r w:rsidR="00B63B23">
        <w:rPr>
          <w:rFonts w:ascii="Arial" w:hAnsi="Arial" w:cs="Arial"/>
        </w:rPr>
        <w:t>’analisi</w:t>
      </w:r>
      <w:r w:rsidRPr="004358C8">
        <w:rPr>
          <w:rFonts w:ascii="Arial" w:hAnsi="Arial" w:cs="Arial"/>
        </w:rPr>
        <w:t xml:space="preserve"> ipotizza</w:t>
      </w:r>
      <w:r w:rsidR="00581EA5" w:rsidRPr="004358C8">
        <w:rPr>
          <w:rFonts w:ascii="Arial" w:hAnsi="Arial" w:cs="Arial"/>
        </w:rPr>
        <w:t xml:space="preserve"> 4 configurazioni di AUC e CER con caratteristiche differenti in termini di membri, potenza e consumi per </w:t>
      </w:r>
      <w:r w:rsidR="00581EA5" w:rsidRPr="004358C8">
        <w:rPr>
          <w:rFonts w:ascii="Arial" w:hAnsi="Arial" w:cs="Arial"/>
          <w:b/>
          <w:bCs/>
        </w:rPr>
        <w:t>verificare la sostenibilità economica delle comunità energetiche</w:t>
      </w:r>
      <w:r w:rsidR="00581EA5" w:rsidRPr="004358C8">
        <w:rPr>
          <w:rFonts w:ascii="Arial" w:hAnsi="Arial" w:cs="Arial"/>
        </w:rPr>
        <w:t xml:space="preserve">. </w:t>
      </w:r>
    </w:p>
    <w:p w14:paraId="18FDD44A" w14:textId="77777777" w:rsidR="00FB5B35" w:rsidRPr="004358C8" w:rsidRDefault="00FB5B35" w:rsidP="00C71FC2">
      <w:pPr>
        <w:jc w:val="both"/>
        <w:rPr>
          <w:rFonts w:ascii="Arial" w:hAnsi="Arial" w:cs="Arial"/>
        </w:rPr>
      </w:pPr>
    </w:p>
    <w:p w14:paraId="4D78D7C0" w14:textId="2E57F796" w:rsidR="00FB5B35" w:rsidRPr="004358C8" w:rsidRDefault="008E7174" w:rsidP="00FB5B35">
      <w:pPr>
        <w:jc w:val="both"/>
        <w:rPr>
          <w:rFonts w:ascii="Arial" w:hAnsi="Arial" w:cs="Arial"/>
        </w:rPr>
      </w:pPr>
      <w:r w:rsidRPr="004358C8">
        <w:rPr>
          <w:rFonts w:ascii="Arial" w:hAnsi="Arial" w:cs="Arial"/>
        </w:rPr>
        <w:t>In sintesi:</w:t>
      </w:r>
    </w:p>
    <w:p w14:paraId="11E84DD6" w14:textId="0098FE1A" w:rsidR="008E7174" w:rsidRPr="004358C8" w:rsidRDefault="00FB5B35" w:rsidP="00FB5B35">
      <w:pPr>
        <w:pStyle w:val="Paragrafoelenco"/>
        <w:numPr>
          <w:ilvl w:val="0"/>
          <w:numId w:val="26"/>
        </w:numPr>
        <w:jc w:val="both"/>
        <w:rPr>
          <w:rFonts w:ascii="Arial" w:hAnsi="Arial" w:cs="Arial"/>
        </w:rPr>
      </w:pPr>
      <w:r w:rsidRPr="004358C8">
        <w:rPr>
          <w:rFonts w:ascii="Arial" w:hAnsi="Arial" w:cs="Arial"/>
        </w:rPr>
        <w:t xml:space="preserve">L’installazione di rinnovabili richiede </w:t>
      </w:r>
      <w:r w:rsidRPr="004358C8">
        <w:rPr>
          <w:rFonts w:ascii="Arial" w:hAnsi="Arial" w:cs="Arial"/>
          <w:b/>
          <w:bCs/>
        </w:rPr>
        <w:t>investimenti up-front consistenti</w:t>
      </w:r>
      <w:r w:rsidRPr="004358C8">
        <w:rPr>
          <w:rFonts w:ascii="Arial" w:hAnsi="Arial" w:cs="Arial"/>
        </w:rPr>
        <w:t xml:space="preserve">, anche per impianti di piccola taglia </w:t>
      </w:r>
      <w:r w:rsidR="008E7174" w:rsidRPr="004358C8">
        <w:rPr>
          <w:rFonts w:ascii="Arial" w:hAnsi="Arial" w:cs="Arial"/>
        </w:rPr>
        <w:t>(tra 55 e 205 mila euro di investimento)</w:t>
      </w:r>
      <w:r w:rsidR="00AE1AAB" w:rsidRPr="004358C8">
        <w:rPr>
          <w:rFonts w:ascii="Arial" w:hAnsi="Arial" w:cs="Arial"/>
        </w:rPr>
        <w:t xml:space="preserve">. I player energetici possono essere facilitatori della creazione di CER fungendo da investitori e/o </w:t>
      </w:r>
      <w:r w:rsidR="00AE1AAB" w:rsidRPr="004358C8">
        <w:rPr>
          <w:rFonts w:ascii="Arial" w:hAnsi="Arial" w:cs="Arial"/>
          <w:b/>
          <w:bCs/>
        </w:rPr>
        <w:t>intermediari per il recupero di fondi</w:t>
      </w:r>
      <w:r w:rsidR="00AE1AAB" w:rsidRPr="004358C8">
        <w:rPr>
          <w:rFonts w:ascii="Arial" w:hAnsi="Arial" w:cs="Arial"/>
        </w:rPr>
        <w:t xml:space="preserve"> da enti finanziari</w:t>
      </w:r>
      <w:r w:rsidR="00D13A2B" w:rsidRPr="004358C8">
        <w:rPr>
          <w:rFonts w:ascii="Arial" w:hAnsi="Arial" w:cs="Arial"/>
        </w:rPr>
        <w:t xml:space="preserve"> soprattutto a supporto dei cittadini</w:t>
      </w:r>
      <w:r w:rsidR="00AE1AAB" w:rsidRPr="004358C8">
        <w:rPr>
          <w:rFonts w:ascii="Arial" w:hAnsi="Arial" w:cs="Arial"/>
        </w:rPr>
        <w:t xml:space="preserve"> (esempio modello a </w:t>
      </w:r>
      <w:r w:rsidR="00084F29" w:rsidRPr="004358C8">
        <w:rPr>
          <w:rFonts w:ascii="Arial" w:hAnsi="Arial" w:cs="Arial"/>
        </w:rPr>
        <w:t>piattaforma</w:t>
      </w:r>
      <w:r w:rsidR="00AE1AAB" w:rsidRPr="004358C8">
        <w:rPr>
          <w:rFonts w:ascii="Arial" w:hAnsi="Arial" w:cs="Arial"/>
        </w:rPr>
        <w:t>).</w:t>
      </w:r>
    </w:p>
    <w:p w14:paraId="6885E3D4" w14:textId="5B652294" w:rsidR="001608A5" w:rsidRPr="004358C8" w:rsidRDefault="00734B95" w:rsidP="006C7B71">
      <w:pPr>
        <w:pStyle w:val="Paragrafoelenco"/>
        <w:numPr>
          <w:ilvl w:val="0"/>
          <w:numId w:val="26"/>
        </w:numPr>
        <w:rPr>
          <w:rFonts w:ascii="Arial" w:hAnsi="Arial" w:cs="Arial"/>
        </w:rPr>
      </w:pPr>
      <w:r w:rsidRPr="004358C8">
        <w:rPr>
          <w:rFonts w:ascii="Arial" w:hAnsi="Arial" w:cs="Arial"/>
        </w:rPr>
        <w:t>L</w:t>
      </w:r>
      <w:r w:rsidR="00FB5B35" w:rsidRPr="004358C8">
        <w:rPr>
          <w:rFonts w:ascii="Arial" w:hAnsi="Arial" w:cs="Arial"/>
        </w:rPr>
        <w:t>’</w:t>
      </w:r>
      <w:r w:rsidR="00FB5B35" w:rsidRPr="004358C8">
        <w:rPr>
          <w:rFonts w:ascii="Arial" w:hAnsi="Arial" w:cs="Arial"/>
          <w:b/>
          <w:bCs/>
        </w:rPr>
        <w:t>incentivo GSE</w:t>
      </w:r>
      <w:r w:rsidR="00FB5B35" w:rsidRPr="004358C8">
        <w:rPr>
          <w:rFonts w:ascii="Arial" w:hAnsi="Arial" w:cs="Arial"/>
        </w:rPr>
        <w:t xml:space="preserve"> per </w:t>
      </w:r>
      <w:r w:rsidR="00FB5B35" w:rsidRPr="004358C8">
        <w:rPr>
          <w:rFonts w:ascii="Arial" w:hAnsi="Arial" w:cs="Arial"/>
          <w:b/>
          <w:bCs/>
        </w:rPr>
        <w:t xml:space="preserve">l’autoconsumo virtuale </w:t>
      </w:r>
      <w:r w:rsidR="00FB5B35" w:rsidRPr="004358C8">
        <w:rPr>
          <w:rFonts w:ascii="Arial" w:hAnsi="Arial" w:cs="Arial"/>
        </w:rPr>
        <w:t xml:space="preserve">rappresenta una </w:t>
      </w:r>
      <w:r w:rsidR="00FB5B35" w:rsidRPr="004358C8">
        <w:rPr>
          <w:rFonts w:ascii="Arial" w:hAnsi="Arial" w:cs="Arial"/>
          <w:b/>
          <w:bCs/>
        </w:rPr>
        <w:t>percentuale marginale</w:t>
      </w:r>
      <w:r w:rsidRPr="004358C8">
        <w:rPr>
          <w:rFonts w:ascii="Arial" w:hAnsi="Arial" w:cs="Arial"/>
          <w:b/>
          <w:bCs/>
        </w:rPr>
        <w:t xml:space="preserve"> sul totale dei </w:t>
      </w:r>
      <w:r w:rsidR="00FF1196" w:rsidRPr="004358C8">
        <w:rPr>
          <w:rFonts w:ascii="Arial" w:hAnsi="Arial" w:cs="Arial"/>
          <w:b/>
          <w:bCs/>
        </w:rPr>
        <w:t xml:space="preserve">guadagni </w:t>
      </w:r>
      <w:r w:rsidR="00FF1196" w:rsidRPr="004358C8">
        <w:rPr>
          <w:rFonts w:ascii="Arial" w:hAnsi="Arial" w:cs="Arial"/>
        </w:rPr>
        <w:t>di cui beneficia la comunità (non oltre il 15%)</w:t>
      </w:r>
      <w:r w:rsidR="00D13A2B" w:rsidRPr="004358C8">
        <w:rPr>
          <w:rFonts w:ascii="Arial" w:hAnsi="Arial" w:cs="Arial"/>
        </w:rPr>
        <w:t>.</w:t>
      </w:r>
    </w:p>
    <w:p w14:paraId="48D7E0CB" w14:textId="0542A54E" w:rsidR="00AE1AAB" w:rsidRPr="004358C8" w:rsidRDefault="00FB5B35" w:rsidP="006C7B71">
      <w:pPr>
        <w:pStyle w:val="Paragrafoelenco"/>
        <w:numPr>
          <w:ilvl w:val="0"/>
          <w:numId w:val="26"/>
        </w:numPr>
        <w:rPr>
          <w:rFonts w:ascii="Arial" w:hAnsi="Arial" w:cs="Arial"/>
        </w:rPr>
      </w:pPr>
      <w:r w:rsidRPr="004358C8">
        <w:rPr>
          <w:rFonts w:ascii="Arial" w:hAnsi="Arial" w:cs="Arial"/>
        </w:rPr>
        <w:t xml:space="preserve">Le </w:t>
      </w:r>
      <w:r w:rsidRPr="004358C8">
        <w:rPr>
          <w:rFonts w:ascii="Arial" w:hAnsi="Arial" w:cs="Arial"/>
          <w:b/>
          <w:bCs/>
        </w:rPr>
        <w:t xml:space="preserve">CER </w:t>
      </w:r>
      <w:r w:rsidRPr="004358C8">
        <w:rPr>
          <w:rFonts w:ascii="Arial" w:hAnsi="Arial" w:cs="Arial"/>
        </w:rPr>
        <w:t>che coinvolgono</w:t>
      </w:r>
      <w:r w:rsidR="00773521" w:rsidRPr="004358C8">
        <w:rPr>
          <w:rFonts w:ascii="Arial" w:hAnsi="Arial" w:cs="Arial"/>
        </w:rPr>
        <w:t xml:space="preserve"> oltre ai cittadini anche</w:t>
      </w:r>
      <w:r w:rsidRPr="004358C8">
        <w:rPr>
          <w:rFonts w:ascii="Arial" w:hAnsi="Arial" w:cs="Arial"/>
        </w:rPr>
        <w:t xml:space="preserve"> </w:t>
      </w:r>
      <w:r w:rsidRPr="004358C8">
        <w:rPr>
          <w:rFonts w:ascii="Arial" w:hAnsi="Arial" w:cs="Arial"/>
          <w:b/>
          <w:bCs/>
        </w:rPr>
        <w:t xml:space="preserve">PA o PMI </w:t>
      </w:r>
      <w:r w:rsidRPr="004358C8">
        <w:rPr>
          <w:rFonts w:ascii="Arial" w:hAnsi="Arial" w:cs="Arial"/>
        </w:rPr>
        <w:t xml:space="preserve">ottengono le </w:t>
      </w:r>
      <w:r w:rsidRPr="004358C8">
        <w:rPr>
          <w:rFonts w:ascii="Arial" w:hAnsi="Arial" w:cs="Arial"/>
          <w:b/>
          <w:bCs/>
        </w:rPr>
        <w:t xml:space="preserve">performance migliori </w:t>
      </w:r>
      <w:r w:rsidRPr="004358C8">
        <w:rPr>
          <w:rFonts w:ascii="Arial" w:hAnsi="Arial" w:cs="Arial"/>
        </w:rPr>
        <w:t>nel breve e lungo termine</w:t>
      </w:r>
      <w:r w:rsidR="000A24D5" w:rsidRPr="004358C8">
        <w:rPr>
          <w:rFonts w:ascii="Arial" w:hAnsi="Arial" w:cs="Arial"/>
        </w:rPr>
        <w:t xml:space="preserve"> (</w:t>
      </w:r>
      <w:proofErr w:type="spellStart"/>
      <w:r w:rsidR="00565F55" w:rsidRPr="004358C8">
        <w:rPr>
          <w:rFonts w:ascii="Arial" w:hAnsi="Arial" w:cs="Arial"/>
        </w:rPr>
        <w:t>payback</w:t>
      </w:r>
      <w:proofErr w:type="spellEnd"/>
      <w:r w:rsidR="00565F55" w:rsidRPr="004358C8">
        <w:rPr>
          <w:rFonts w:ascii="Arial" w:hAnsi="Arial" w:cs="Arial"/>
        </w:rPr>
        <w:t xml:space="preserve"> </w:t>
      </w:r>
      <w:proofErr w:type="spellStart"/>
      <w:r w:rsidR="00565F55" w:rsidRPr="004358C8">
        <w:rPr>
          <w:rFonts w:ascii="Arial" w:hAnsi="Arial" w:cs="Arial"/>
        </w:rPr>
        <w:t>period</w:t>
      </w:r>
      <w:proofErr w:type="spellEnd"/>
      <w:r w:rsidR="00565F55" w:rsidRPr="004358C8">
        <w:rPr>
          <w:rFonts w:ascii="Arial" w:hAnsi="Arial" w:cs="Arial"/>
        </w:rPr>
        <w:t xml:space="preserve"> di circa 5 anni con</w:t>
      </w:r>
      <w:r w:rsidR="00D610A4" w:rsidRPr="004358C8">
        <w:rPr>
          <w:rFonts w:ascii="Arial" w:hAnsi="Arial" w:cs="Arial"/>
        </w:rPr>
        <w:t xml:space="preserve"> un beneficio cumulato in 20 anni di </w:t>
      </w:r>
      <w:r w:rsidR="000A24D5" w:rsidRPr="004358C8">
        <w:rPr>
          <w:rFonts w:ascii="Arial" w:hAnsi="Arial" w:cs="Arial"/>
        </w:rPr>
        <w:t>oltre 300</w:t>
      </w:r>
      <w:r w:rsidR="00F33F19" w:rsidRPr="004358C8">
        <w:rPr>
          <w:rFonts w:ascii="Arial" w:hAnsi="Arial" w:cs="Arial"/>
        </w:rPr>
        <w:t>k euro</w:t>
      </w:r>
      <w:r w:rsidR="00490962" w:rsidRPr="004358C8">
        <w:rPr>
          <w:rFonts w:ascii="Arial" w:hAnsi="Arial" w:cs="Arial"/>
        </w:rPr>
        <w:t xml:space="preserve"> per singola comunità</w:t>
      </w:r>
      <w:r w:rsidR="00F33F19" w:rsidRPr="004358C8">
        <w:rPr>
          <w:rFonts w:ascii="Arial" w:hAnsi="Arial" w:cs="Arial"/>
        </w:rPr>
        <w:t>)</w:t>
      </w:r>
      <w:r w:rsidR="004755BC" w:rsidRPr="004358C8">
        <w:rPr>
          <w:rFonts w:ascii="Arial" w:hAnsi="Arial" w:cs="Arial"/>
        </w:rPr>
        <w:t xml:space="preserve">, </w:t>
      </w:r>
      <w:r w:rsidR="00084F29" w:rsidRPr="004358C8">
        <w:rPr>
          <w:rFonts w:ascii="Arial" w:hAnsi="Arial" w:cs="Arial"/>
        </w:rPr>
        <w:t>rispetto alle</w:t>
      </w:r>
      <w:r w:rsidR="004755BC" w:rsidRPr="004358C8">
        <w:rPr>
          <w:rFonts w:ascii="Arial" w:hAnsi="Arial" w:cs="Arial"/>
        </w:rPr>
        <w:t xml:space="preserve"> configurazioni di AUC</w:t>
      </w:r>
      <w:r w:rsidR="001608A5" w:rsidRPr="004358C8">
        <w:rPr>
          <w:rFonts w:ascii="Arial" w:hAnsi="Arial" w:cs="Arial"/>
        </w:rPr>
        <w:t xml:space="preserve"> confermando una maggiore scalabilità di modelli “industriali”.</w:t>
      </w:r>
    </w:p>
    <w:p w14:paraId="059031A1" w14:textId="7F329722" w:rsidR="00D12CAA" w:rsidRPr="004358C8" w:rsidRDefault="00D12CAA" w:rsidP="00C71FC2">
      <w:pPr>
        <w:jc w:val="both"/>
        <w:rPr>
          <w:rFonts w:ascii="Arial" w:hAnsi="Arial" w:cs="Arial"/>
        </w:rPr>
      </w:pPr>
    </w:p>
    <w:p w14:paraId="00685738" w14:textId="0632619A" w:rsidR="00C655AA" w:rsidRDefault="00ED140F" w:rsidP="00ED140F">
      <w:pPr>
        <w:jc w:val="both"/>
        <w:rPr>
          <w:rFonts w:ascii="Arial" w:hAnsi="Arial" w:cs="Arial"/>
          <w:color w:val="000000" w:themeColor="text1"/>
        </w:rPr>
      </w:pPr>
      <w:r w:rsidRPr="004358C8">
        <w:rPr>
          <w:rFonts w:ascii="Arial" w:hAnsi="Arial" w:cs="Arial"/>
        </w:rPr>
        <w:t xml:space="preserve">Raggiungendo i 5GW di potenza installata (come da obiettivo previsto da normativa), le comunità energetiche potrebbero generare - sulla base degli scenari Accenture - una riduzione di CO2 pari a 1,35 M tonnellate </w:t>
      </w:r>
      <w:r w:rsidRPr="00691922">
        <w:rPr>
          <w:rFonts w:ascii="Arial" w:hAnsi="Arial" w:cs="Arial"/>
          <w:color w:val="000000" w:themeColor="text1"/>
        </w:rPr>
        <w:t>e un beneficio economico tra i 1,3 e 1,5 miliardi di euro.</w:t>
      </w:r>
    </w:p>
    <w:p w14:paraId="55D710A2" w14:textId="36A5FFD4" w:rsidR="001B3034" w:rsidRDefault="001B3034" w:rsidP="00ED140F">
      <w:pPr>
        <w:jc w:val="both"/>
        <w:rPr>
          <w:rFonts w:ascii="Arial" w:hAnsi="Arial" w:cs="Arial"/>
          <w:color w:val="000000" w:themeColor="text1"/>
        </w:rPr>
      </w:pPr>
    </w:p>
    <w:p w14:paraId="4D6FC2C3" w14:textId="77777777" w:rsidR="001B3034" w:rsidRDefault="001B3034" w:rsidP="001B3034">
      <w:pPr>
        <w:contextualSpacing/>
        <w:rPr>
          <w:b/>
          <w:sz w:val="18"/>
          <w:szCs w:val="18"/>
        </w:rPr>
      </w:pPr>
    </w:p>
    <w:p w14:paraId="15410859" w14:textId="77777777" w:rsidR="00630737" w:rsidRDefault="00630737" w:rsidP="001B3034">
      <w:pPr>
        <w:contextualSpacing/>
        <w:rPr>
          <w:b/>
          <w:sz w:val="18"/>
          <w:szCs w:val="18"/>
        </w:rPr>
      </w:pPr>
    </w:p>
    <w:p w14:paraId="7E7806A4" w14:textId="77777777" w:rsidR="00630737" w:rsidRDefault="00630737" w:rsidP="001B3034">
      <w:pPr>
        <w:contextualSpacing/>
        <w:rPr>
          <w:b/>
          <w:sz w:val="18"/>
          <w:szCs w:val="18"/>
        </w:rPr>
      </w:pPr>
    </w:p>
    <w:p w14:paraId="6CA47A8A" w14:textId="77777777" w:rsidR="00630737" w:rsidRDefault="00630737" w:rsidP="001B3034">
      <w:pPr>
        <w:contextualSpacing/>
        <w:rPr>
          <w:b/>
          <w:sz w:val="18"/>
          <w:szCs w:val="18"/>
        </w:rPr>
      </w:pPr>
    </w:p>
    <w:p w14:paraId="37C4508A" w14:textId="77777777" w:rsidR="00630737" w:rsidRDefault="00630737" w:rsidP="001B3034">
      <w:pPr>
        <w:contextualSpacing/>
        <w:rPr>
          <w:b/>
          <w:sz w:val="18"/>
          <w:szCs w:val="18"/>
        </w:rPr>
      </w:pPr>
    </w:p>
    <w:p w14:paraId="56471807" w14:textId="77777777" w:rsidR="00630737" w:rsidRDefault="00630737" w:rsidP="001B3034">
      <w:pPr>
        <w:contextualSpacing/>
        <w:rPr>
          <w:b/>
          <w:sz w:val="18"/>
          <w:szCs w:val="18"/>
        </w:rPr>
      </w:pPr>
    </w:p>
    <w:p w14:paraId="23BE9CC1" w14:textId="77777777" w:rsidR="00630737" w:rsidRDefault="00630737" w:rsidP="001B3034">
      <w:pPr>
        <w:contextualSpacing/>
        <w:rPr>
          <w:b/>
          <w:sz w:val="18"/>
          <w:szCs w:val="18"/>
        </w:rPr>
      </w:pPr>
    </w:p>
    <w:p w14:paraId="57AA7AC2" w14:textId="77777777" w:rsidR="00630737" w:rsidRDefault="00630737" w:rsidP="001B3034">
      <w:pPr>
        <w:contextualSpacing/>
        <w:rPr>
          <w:b/>
          <w:sz w:val="18"/>
          <w:szCs w:val="18"/>
        </w:rPr>
      </w:pPr>
    </w:p>
    <w:p w14:paraId="68BAA16F" w14:textId="77777777" w:rsidR="00630737" w:rsidRDefault="00630737" w:rsidP="001B3034">
      <w:pPr>
        <w:contextualSpacing/>
        <w:rPr>
          <w:b/>
          <w:sz w:val="18"/>
          <w:szCs w:val="18"/>
        </w:rPr>
      </w:pPr>
    </w:p>
    <w:p w14:paraId="7909613E" w14:textId="77777777" w:rsidR="00630737" w:rsidRDefault="00630737" w:rsidP="001B3034">
      <w:pPr>
        <w:contextualSpacing/>
        <w:rPr>
          <w:b/>
          <w:sz w:val="18"/>
          <w:szCs w:val="18"/>
        </w:rPr>
      </w:pPr>
    </w:p>
    <w:p w14:paraId="15F853BB" w14:textId="77777777" w:rsidR="00630737" w:rsidRPr="000F2BED" w:rsidRDefault="00630737" w:rsidP="001B3034">
      <w:pPr>
        <w:contextualSpacing/>
        <w:rPr>
          <w:b/>
          <w:sz w:val="18"/>
          <w:szCs w:val="18"/>
        </w:rPr>
      </w:pPr>
    </w:p>
    <w:p w14:paraId="538F8004" w14:textId="198470BA" w:rsidR="001B3034" w:rsidRPr="000F2BED" w:rsidRDefault="001B3034" w:rsidP="001B3034">
      <w:pPr>
        <w:contextualSpacing/>
        <w:rPr>
          <w:b/>
          <w:sz w:val="18"/>
          <w:szCs w:val="18"/>
        </w:rPr>
      </w:pPr>
      <w:r>
        <w:rPr>
          <w:b/>
          <w:sz w:val="18"/>
          <w:szCs w:val="18"/>
        </w:rPr>
        <w:lastRenderedPageBreak/>
        <w:t>Per informazioni</w:t>
      </w:r>
    </w:p>
    <w:p w14:paraId="432EF6BD" w14:textId="77777777" w:rsidR="001B3034" w:rsidRDefault="001B3034" w:rsidP="001B3034">
      <w:pPr>
        <w:contextualSpacing/>
        <w:rPr>
          <w:rStyle w:val="Collegamentoipertestuale"/>
          <w:sz w:val="18"/>
          <w:szCs w:val="18"/>
        </w:rPr>
      </w:pPr>
      <w:r w:rsidRPr="000F2BED">
        <w:rPr>
          <w:sz w:val="18"/>
          <w:szCs w:val="18"/>
        </w:rPr>
        <w:t>Ufficio Stampa Accenture</w:t>
      </w:r>
      <w:r w:rsidRPr="000F2BED">
        <w:rPr>
          <w:sz w:val="18"/>
          <w:szCs w:val="18"/>
        </w:rPr>
        <w:br/>
        <w:t>(+39) 340 7093200</w:t>
      </w:r>
      <w:r w:rsidRPr="000F2BED">
        <w:rPr>
          <w:sz w:val="18"/>
          <w:szCs w:val="18"/>
        </w:rPr>
        <w:br/>
      </w:r>
      <w:hyperlink r:id="rId11" w:history="1">
        <w:r w:rsidRPr="000F2BED">
          <w:rPr>
            <w:rStyle w:val="Collegamentoipertestuale"/>
            <w:sz w:val="18"/>
            <w:szCs w:val="18"/>
          </w:rPr>
          <w:t>accenture.stampa@accenture.com</w:t>
        </w:r>
      </w:hyperlink>
    </w:p>
    <w:p w14:paraId="0DF1F4F4" w14:textId="77777777" w:rsidR="00A243A2" w:rsidRDefault="00A243A2" w:rsidP="00A243A2">
      <w:pPr>
        <w:jc w:val="both"/>
        <w:rPr>
          <w:color w:val="000000"/>
          <w:sz w:val="18"/>
          <w:szCs w:val="18"/>
        </w:rPr>
      </w:pPr>
    </w:p>
    <w:p w14:paraId="164EDCBB" w14:textId="77777777" w:rsidR="00A243A2" w:rsidRPr="000B30D6" w:rsidRDefault="00A243A2" w:rsidP="00A243A2">
      <w:pPr>
        <w:jc w:val="both"/>
        <w:rPr>
          <w:b/>
          <w:bCs/>
          <w:color w:val="000000"/>
          <w:sz w:val="18"/>
          <w:szCs w:val="18"/>
        </w:rPr>
      </w:pPr>
      <w:proofErr w:type="spellStart"/>
      <w:r w:rsidRPr="000B30D6">
        <w:rPr>
          <w:b/>
          <w:bCs/>
          <w:color w:val="000000"/>
          <w:sz w:val="18"/>
          <w:szCs w:val="18"/>
        </w:rPr>
        <w:t>Agici</w:t>
      </w:r>
      <w:proofErr w:type="spellEnd"/>
    </w:p>
    <w:p w14:paraId="6A76AC3A" w14:textId="77777777" w:rsidR="00A243A2" w:rsidRPr="000B30D6" w:rsidRDefault="00A243A2" w:rsidP="00A243A2">
      <w:pPr>
        <w:jc w:val="both"/>
        <w:rPr>
          <w:color w:val="000000"/>
          <w:sz w:val="18"/>
          <w:szCs w:val="18"/>
        </w:rPr>
      </w:pPr>
      <w:r w:rsidRPr="000B30D6">
        <w:rPr>
          <w:color w:val="000000"/>
          <w:sz w:val="18"/>
          <w:szCs w:val="18"/>
        </w:rPr>
        <w:t>Valeria Panza</w:t>
      </w:r>
    </w:p>
    <w:p w14:paraId="65BA130C" w14:textId="77777777" w:rsidR="00A243A2" w:rsidRPr="00A243A2" w:rsidRDefault="00A243A2" w:rsidP="00A243A2">
      <w:pPr>
        <w:jc w:val="both"/>
        <w:rPr>
          <w:color w:val="000000"/>
          <w:sz w:val="18"/>
          <w:szCs w:val="18"/>
          <w:lang w:val="en-GB"/>
        </w:rPr>
      </w:pPr>
      <w:r w:rsidRPr="00A243A2">
        <w:rPr>
          <w:color w:val="000000"/>
          <w:sz w:val="18"/>
          <w:szCs w:val="18"/>
          <w:lang w:val="en-GB"/>
        </w:rPr>
        <w:t>valeria.panza@agici.it</w:t>
      </w:r>
    </w:p>
    <w:p w14:paraId="2E79955E" w14:textId="77777777" w:rsidR="00A243A2" w:rsidRPr="000B30D6" w:rsidRDefault="00A243A2" w:rsidP="00A243A2">
      <w:pPr>
        <w:jc w:val="both"/>
        <w:rPr>
          <w:color w:val="000000"/>
          <w:sz w:val="18"/>
          <w:szCs w:val="18"/>
          <w:lang w:val="en-GB"/>
        </w:rPr>
      </w:pPr>
      <w:r w:rsidRPr="000B30D6">
        <w:rPr>
          <w:color w:val="000000"/>
          <w:sz w:val="18"/>
          <w:szCs w:val="18"/>
          <w:lang w:val="en-GB"/>
        </w:rPr>
        <w:t>+39 347 0928607</w:t>
      </w:r>
    </w:p>
    <w:p w14:paraId="0964011B" w14:textId="77777777" w:rsidR="00A243A2" w:rsidRPr="000B30D6" w:rsidRDefault="00A243A2" w:rsidP="00A243A2">
      <w:pPr>
        <w:jc w:val="both"/>
        <w:rPr>
          <w:color w:val="000000"/>
          <w:sz w:val="18"/>
          <w:szCs w:val="18"/>
          <w:lang w:val="en-GB"/>
        </w:rPr>
      </w:pPr>
    </w:p>
    <w:p w14:paraId="5C8B26FF" w14:textId="77777777" w:rsidR="00A243A2" w:rsidRPr="000B30D6" w:rsidRDefault="00A243A2" w:rsidP="00A243A2">
      <w:pPr>
        <w:jc w:val="both"/>
        <w:rPr>
          <w:b/>
          <w:bCs/>
          <w:color w:val="000000"/>
          <w:sz w:val="18"/>
          <w:szCs w:val="18"/>
          <w:lang w:val="en-GB"/>
        </w:rPr>
      </w:pPr>
      <w:r w:rsidRPr="000B30D6">
        <w:rPr>
          <w:b/>
          <w:bCs/>
          <w:color w:val="000000"/>
          <w:sz w:val="18"/>
          <w:szCs w:val="18"/>
          <w:lang w:val="en-GB"/>
        </w:rPr>
        <w:t>Comin &amp; Partners</w:t>
      </w:r>
    </w:p>
    <w:p w14:paraId="6163FBB2" w14:textId="77777777" w:rsidR="00A243A2" w:rsidRPr="000B30D6" w:rsidRDefault="00A243A2" w:rsidP="00A243A2">
      <w:pPr>
        <w:jc w:val="both"/>
        <w:rPr>
          <w:color w:val="000000"/>
          <w:sz w:val="18"/>
          <w:szCs w:val="18"/>
          <w:lang w:val="en-GB"/>
        </w:rPr>
      </w:pPr>
      <w:r w:rsidRPr="000B30D6">
        <w:rPr>
          <w:color w:val="000000"/>
          <w:sz w:val="18"/>
          <w:szCs w:val="18"/>
          <w:lang w:val="en-GB"/>
        </w:rPr>
        <w:t xml:space="preserve">Tommaso </w:t>
      </w:r>
      <w:proofErr w:type="spellStart"/>
      <w:r w:rsidRPr="000B30D6">
        <w:rPr>
          <w:color w:val="000000"/>
          <w:sz w:val="18"/>
          <w:szCs w:val="18"/>
          <w:lang w:val="en-GB"/>
        </w:rPr>
        <w:t>Accomanno</w:t>
      </w:r>
      <w:proofErr w:type="spellEnd"/>
    </w:p>
    <w:p w14:paraId="53BBCD8E" w14:textId="77777777" w:rsidR="00A243A2" w:rsidRPr="000B30D6" w:rsidRDefault="00A243A2" w:rsidP="00A243A2">
      <w:pPr>
        <w:jc w:val="both"/>
        <w:rPr>
          <w:color w:val="000000"/>
          <w:sz w:val="18"/>
          <w:szCs w:val="18"/>
          <w:lang w:val="en-GB"/>
        </w:rPr>
      </w:pPr>
      <w:r w:rsidRPr="000B30D6">
        <w:rPr>
          <w:color w:val="000000"/>
          <w:sz w:val="18"/>
          <w:szCs w:val="18"/>
          <w:lang w:val="en-GB"/>
        </w:rPr>
        <w:t>tommaso.accomanno@cominandpartners.com</w:t>
      </w:r>
    </w:p>
    <w:p w14:paraId="66C99E05" w14:textId="77777777" w:rsidR="00A243A2" w:rsidRPr="000B30D6" w:rsidRDefault="00A243A2" w:rsidP="00A243A2">
      <w:pPr>
        <w:jc w:val="both"/>
        <w:rPr>
          <w:color w:val="000000"/>
          <w:sz w:val="18"/>
          <w:szCs w:val="18"/>
        </w:rPr>
      </w:pPr>
      <w:r w:rsidRPr="000B30D6">
        <w:rPr>
          <w:color w:val="000000"/>
          <w:sz w:val="18"/>
          <w:szCs w:val="18"/>
        </w:rPr>
        <w:t>+39 340 7701750</w:t>
      </w:r>
    </w:p>
    <w:p w14:paraId="5FC0130F" w14:textId="77777777" w:rsidR="00A243A2" w:rsidRPr="000B30D6" w:rsidRDefault="00A243A2" w:rsidP="00A243A2">
      <w:pPr>
        <w:jc w:val="both"/>
        <w:rPr>
          <w:color w:val="000000"/>
          <w:sz w:val="18"/>
          <w:szCs w:val="18"/>
        </w:rPr>
      </w:pPr>
    </w:p>
    <w:p w14:paraId="66A82035" w14:textId="77777777" w:rsidR="00A243A2" w:rsidRPr="000B30D6" w:rsidRDefault="00A243A2" w:rsidP="00A243A2">
      <w:pPr>
        <w:jc w:val="both"/>
        <w:rPr>
          <w:color w:val="000000"/>
          <w:sz w:val="18"/>
          <w:szCs w:val="18"/>
        </w:rPr>
      </w:pPr>
      <w:r w:rsidRPr="000B30D6">
        <w:rPr>
          <w:color w:val="000000"/>
          <w:sz w:val="18"/>
          <w:szCs w:val="18"/>
        </w:rPr>
        <w:t>Fausto Fiorin</w:t>
      </w:r>
    </w:p>
    <w:p w14:paraId="5AE87176" w14:textId="77777777" w:rsidR="00A243A2" w:rsidRPr="000B30D6" w:rsidRDefault="00A243A2" w:rsidP="00A243A2">
      <w:pPr>
        <w:jc w:val="both"/>
        <w:rPr>
          <w:color w:val="000000"/>
          <w:sz w:val="18"/>
          <w:szCs w:val="18"/>
        </w:rPr>
      </w:pPr>
      <w:r w:rsidRPr="000B30D6">
        <w:rPr>
          <w:color w:val="000000"/>
          <w:sz w:val="18"/>
          <w:szCs w:val="18"/>
        </w:rPr>
        <w:t>fausto.fiorin@cominandpartners.com</w:t>
      </w:r>
    </w:p>
    <w:p w14:paraId="22559E66" w14:textId="77777777" w:rsidR="00A243A2" w:rsidRPr="00E61563" w:rsidRDefault="00A243A2" w:rsidP="00A243A2">
      <w:pPr>
        <w:jc w:val="both"/>
        <w:rPr>
          <w:color w:val="000000"/>
          <w:sz w:val="18"/>
          <w:szCs w:val="18"/>
        </w:rPr>
      </w:pPr>
      <w:r w:rsidRPr="000B30D6">
        <w:rPr>
          <w:color w:val="000000"/>
          <w:sz w:val="18"/>
          <w:szCs w:val="18"/>
        </w:rPr>
        <w:t>+39 348 4896024</w:t>
      </w:r>
    </w:p>
    <w:p w14:paraId="454A25F4" w14:textId="77777777" w:rsidR="00A243A2" w:rsidRDefault="00A243A2" w:rsidP="001B3034">
      <w:pPr>
        <w:contextualSpacing/>
        <w:rPr>
          <w:rStyle w:val="Collegamentoipertestuale"/>
          <w:sz w:val="18"/>
          <w:szCs w:val="18"/>
        </w:rPr>
      </w:pPr>
    </w:p>
    <w:p w14:paraId="7BBC8FF7" w14:textId="77777777" w:rsidR="001B3034" w:rsidRDefault="001B3034" w:rsidP="001B3034">
      <w:pPr>
        <w:spacing w:line="240" w:lineRule="auto"/>
        <w:jc w:val="both"/>
      </w:pPr>
    </w:p>
    <w:p w14:paraId="19542DDA" w14:textId="77777777" w:rsidR="001B3034" w:rsidRPr="00691922" w:rsidRDefault="001B3034" w:rsidP="00ED140F">
      <w:pPr>
        <w:jc w:val="both"/>
        <w:rPr>
          <w:rFonts w:ascii="Arial" w:hAnsi="Arial" w:cs="Arial"/>
        </w:rPr>
      </w:pPr>
    </w:p>
    <w:sectPr w:rsidR="001B3034" w:rsidRPr="00691922">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F45E" w14:textId="77777777" w:rsidR="006707D1" w:rsidRDefault="006707D1" w:rsidP="00DC4C1F">
      <w:pPr>
        <w:spacing w:line="240" w:lineRule="auto"/>
      </w:pPr>
      <w:r>
        <w:separator/>
      </w:r>
    </w:p>
  </w:endnote>
  <w:endnote w:type="continuationSeparator" w:id="0">
    <w:p w14:paraId="60EEBAF3" w14:textId="77777777" w:rsidR="006707D1" w:rsidRDefault="006707D1" w:rsidP="00DC4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656D" w14:textId="77777777" w:rsidR="006707D1" w:rsidRDefault="006707D1" w:rsidP="00DC4C1F">
      <w:pPr>
        <w:spacing w:line="240" w:lineRule="auto"/>
      </w:pPr>
      <w:r>
        <w:separator/>
      </w:r>
    </w:p>
  </w:footnote>
  <w:footnote w:type="continuationSeparator" w:id="0">
    <w:p w14:paraId="4A955364" w14:textId="77777777" w:rsidR="006707D1" w:rsidRDefault="006707D1" w:rsidP="00DC4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E0A4" w14:textId="46FAFE2C" w:rsidR="00683388" w:rsidRPr="00262571" w:rsidRDefault="00E32F87" w:rsidP="00630737">
    <w:pPr>
      <w:jc w:val="right"/>
    </w:pPr>
    <w:r>
      <w:rPr>
        <w:noProof/>
        <w:lang w:eastAsia="it-IT"/>
      </w:rPr>
      <w:drawing>
        <wp:anchor distT="0" distB="0" distL="114300" distR="114300" simplePos="0" relativeHeight="251659264" behindDoc="1" locked="0" layoutInCell="1" allowOverlap="1" wp14:anchorId="50D2A189" wp14:editId="6B1F10DA">
          <wp:simplePos x="0" y="0"/>
          <wp:positionH relativeFrom="column">
            <wp:posOffset>-324485</wp:posOffset>
          </wp:positionH>
          <wp:positionV relativeFrom="paragraph">
            <wp:posOffset>189190</wp:posOffset>
          </wp:positionV>
          <wp:extent cx="1708150" cy="452120"/>
          <wp:effectExtent l="0" t="0" r="6350" b="5080"/>
          <wp:wrapTight wrapText="bothSides">
            <wp:wrapPolygon edited="0">
              <wp:start x="12045" y="0"/>
              <wp:lineTo x="0" y="10921"/>
              <wp:lineTo x="0" y="20933"/>
              <wp:lineTo x="21439" y="20933"/>
              <wp:lineTo x="21439" y="10921"/>
              <wp:lineTo x="13490" y="0"/>
              <wp:lineTo x="12045" y="0"/>
            </wp:wrapPolygon>
          </wp:wrapTight>
          <wp:docPr id="6" name="Picture 1"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6" name="Picture 1"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8150" cy="452120"/>
                  </a:xfrm>
                  <a:prstGeom prst="rect">
                    <a:avLst/>
                  </a:prstGeom>
                  <a:noFill/>
                  <a:ln>
                    <a:noFill/>
                  </a:ln>
                </pic:spPr>
              </pic:pic>
            </a:graphicData>
          </a:graphic>
        </wp:anchor>
      </w:drawing>
    </w:r>
    <w:r>
      <w:t xml:space="preserve"> </w:t>
    </w:r>
    <w:r w:rsidR="00630737">
      <w:rPr>
        <w:noProof/>
      </w:rPr>
      <w:drawing>
        <wp:inline distT="0" distB="0" distL="0" distR="0" wp14:anchorId="29481B0A" wp14:editId="7CA7211D">
          <wp:extent cx="1152525" cy="649866"/>
          <wp:effectExtent l="0" t="0" r="0" b="0"/>
          <wp:docPr id="11573247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49866"/>
                  </a:xfrm>
                  <a:prstGeom prst="rect">
                    <a:avLst/>
                  </a:prstGeom>
                  <a:noFill/>
                  <a:ln>
                    <a:noFill/>
                  </a:ln>
                </pic:spPr>
              </pic:pic>
            </a:graphicData>
          </a:graphic>
        </wp:inline>
      </w:drawing>
    </w:r>
  </w:p>
  <w:p w14:paraId="70439D3C" w14:textId="5D0ACCEA" w:rsidR="00683388" w:rsidRPr="00262571" w:rsidRDefault="00683388" w:rsidP="00683388">
    <w:r w:rsidRPr="00262571">
      <w:t> </w:t>
    </w:r>
  </w:p>
  <w:p w14:paraId="2F7092AB" w14:textId="77777777" w:rsidR="00683388" w:rsidRDefault="006833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EBD"/>
    <w:multiLevelType w:val="hybridMultilevel"/>
    <w:tmpl w:val="339C7174"/>
    <w:lvl w:ilvl="0" w:tplc="AEDA65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30577"/>
    <w:multiLevelType w:val="hybridMultilevel"/>
    <w:tmpl w:val="9BF21866"/>
    <w:lvl w:ilvl="0" w:tplc="6C56BB3A">
      <w:start w:val="1"/>
      <w:numFmt w:val="bullet"/>
      <w:lvlText w:val="•"/>
      <w:lvlJc w:val="left"/>
      <w:pPr>
        <w:tabs>
          <w:tab w:val="num" w:pos="720"/>
        </w:tabs>
        <w:ind w:left="720" w:hanging="360"/>
      </w:pPr>
      <w:rPr>
        <w:rFonts w:ascii="Arial" w:hAnsi="Arial" w:hint="default"/>
      </w:rPr>
    </w:lvl>
    <w:lvl w:ilvl="1" w:tplc="170EF2EE" w:tentative="1">
      <w:start w:val="1"/>
      <w:numFmt w:val="bullet"/>
      <w:lvlText w:val="•"/>
      <w:lvlJc w:val="left"/>
      <w:pPr>
        <w:tabs>
          <w:tab w:val="num" w:pos="1440"/>
        </w:tabs>
        <w:ind w:left="1440" w:hanging="360"/>
      </w:pPr>
      <w:rPr>
        <w:rFonts w:ascii="Arial" w:hAnsi="Arial" w:hint="default"/>
      </w:rPr>
    </w:lvl>
    <w:lvl w:ilvl="2" w:tplc="4DC4E7FA" w:tentative="1">
      <w:start w:val="1"/>
      <w:numFmt w:val="bullet"/>
      <w:lvlText w:val="•"/>
      <w:lvlJc w:val="left"/>
      <w:pPr>
        <w:tabs>
          <w:tab w:val="num" w:pos="2160"/>
        </w:tabs>
        <w:ind w:left="2160" w:hanging="360"/>
      </w:pPr>
      <w:rPr>
        <w:rFonts w:ascii="Arial" w:hAnsi="Arial" w:hint="default"/>
      </w:rPr>
    </w:lvl>
    <w:lvl w:ilvl="3" w:tplc="ECB47050" w:tentative="1">
      <w:start w:val="1"/>
      <w:numFmt w:val="bullet"/>
      <w:lvlText w:val="•"/>
      <w:lvlJc w:val="left"/>
      <w:pPr>
        <w:tabs>
          <w:tab w:val="num" w:pos="2880"/>
        </w:tabs>
        <w:ind w:left="2880" w:hanging="360"/>
      </w:pPr>
      <w:rPr>
        <w:rFonts w:ascii="Arial" w:hAnsi="Arial" w:hint="default"/>
      </w:rPr>
    </w:lvl>
    <w:lvl w:ilvl="4" w:tplc="1CA89C70" w:tentative="1">
      <w:start w:val="1"/>
      <w:numFmt w:val="bullet"/>
      <w:lvlText w:val="•"/>
      <w:lvlJc w:val="left"/>
      <w:pPr>
        <w:tabs>
          <w:tab w:val="num" w:pos="3600"/>
        </w:tabs>
        <w:ind w:left="3600" w:hanging="360"/>
      </w:pPr>
      <w:rPr>
        <w:rFonts w:ascii="Arial" w:hAnsi="Arial" w:hint="default"/>
      </w:rPr>
    </w:lvl>
    <w:lvl w:ilvl="5" w:tplc="E18EB82C" w:tentative="1">
      <w:start w:val="1"/>
      <w:numFmt w:val="bullet"/>
      <w:lvlText w:val="•"/>
      <w:lvlJc w:val="left"/>
      <w:pPr>
        <w:tabs>
          <w:tab w:val="num" w:pos="4320"/>
        </w:tabs>
        <w:ind w:left="4320" w:hanging="360"/>
      </w:pPr>
      <w:rPr>
        <w:rFonts w:ascii="Arial" w:hAnsi="Arial" w:hint="default"/>
      </w:rPr>
    </w:lvl>
    <w:lvl w:ilvl="6" w:tplc="0ACCA678" w:tentative="1">
      <w:start w:val="1"/>
      <w:numFmt w:val="bullet"/>
      <w:lvlText w:val="•"/>
      <w:lvlJc w:val="left"/>
      <w:pPr>
        <w:tabs>
          <w:tab w:val="num" w:pos="5040"/>
        </w:tabs>
        <w:ind w:left="5040" w:hanging="360"/>
      </w:pPr>
      <w:rPr>
        <w:rFonts w:ascii="Arial" w:hAnsi="Arial" w:hint="default"/>
      </w:rPr>
    </w:lvl>
    <w:lvl w:ilvl="7" w:tplc="C8B2FD5A" w:tentative="1">
      <w:start w:val="1"/>
      <w:numFmt w:val="bullet"/>
      <w:lvlText w:val="•"/>
      <w:lvlJc w:val="left"/>
      <w:pPr>
        <w:tabs>
          <w:tab w:val="num" w:pos="5760"/>
        </w:tabs>
        <w:ind w:left="5760" w:hanging="360"/>
      </w:pPr>
      <w:rPr>
        <w:rFonts w:ascii="Arial" w:hAnsi="Arial" w:hint="default"/>
      </w:rPr>
    </w:lvl>
    <w:lvl w:ilvl="8" w:tplc="1562B3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9C3A35"/>
    <w:multiLevelType w:val="multilevel"/>
    <w:tmpl w:val="6EC63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32F68"/>
    <w:multiLevelType w:val="hybridMultilevel"/>
    <w:tmpl w:val="CA56C8DC"/>
    <w:lvl w:ilvl="0" w:tplc="50C4F404">
      <w:start w:val="1"/>
      <w:numFmt w:val="bullet"/>
      <w:lvlText w:val=""/>
      <w:lvlJc w:val="left"/>
      <w:pPr>
        <w:tabs>
          <w:tab w:val="num" w:pos="720"/>
        </w:tabs>
        <w:ind w:left="720" w:hanging="360"/>
      </w:pPr>
      <w:rPr>
        <w:rFonts w:ascii="Wingdings" w:hAnsi="Wingdings" w:hint="default"/>
      </w:rPr>
    </w:lvl>
    <w:lvl w:ilvl="1" w:tplc="01D80574" w:tentative="1">
      <w:start w:val="1"/>
      <w:numFmt w:val="bullet"/>
      <w:lvlText w:val=""/>
      <w:lvlJc w:val="left"/>
      <w:pPr>
        <w:tabs>
          <w:tab w:val="num" w:pos="1440"/>
        </w:tabs>
        <w:ind w:left="1440" w:hanging="360"/>
      </w:pPr>
      <w:rPr>
        <w:rFonts w:ascii="Wingdings" w:hAnsi="Wingdings" w:hint="default"/>
      </w:rPr>
    </w:lvl>
    <w:lvl w:ilvl="2" w:tplc="8EAA9B3C" w:tentative="1">
      <w:start w:val="1"/>
      <w:numFmt w:val="bullet"/>
      <w:lvlText w:val=""/>
      <w:lvlJc w:val="left"/>
      <w:pPr>
        <w:tabs>
          <w:tab w:val="num" w:pos="2160"/>
        </w:tabs>
        <w:ind w:left="2160" w:hanging="360"/>
      </w:pPr>
      <w:rPr>
        <w:rFonts w:ascii="Wingdings" w:hAnsi="Wingdings" w:hint="default"/>
      </w:rPr>
    </w:lvl>
    <w:lvl w:ilvl="3" w:tplc="C3B0DC5E" w:tentative="1">
      <w:start w:val="1"/>
      <w:numFmt w:val="bullet"/>
      <w:lvlText w:val=""/>
      <w:lvlJc w:val="left"/>
      <w:pPr>
        <w:tabs>
          <w:tab w:val="num" w:pos="2880"/>
        </w:tabs>
        <w:ind w:left="2880" w:hanging="360"/>
      </w:pPr>
      <w:rPr>
        <w:rFonts w:ascii="Wingdings" w:hAnsi="Wingdings" w:hint="default"/>
      </w:rPr>
    </w:lvl>
    <w:lvl w:ilvl="4" w:tplc="B9127660" w:tentative="1">
      <w:start w:val="1"/>
      <w:numFmt w:val="bullet"/>
      <w:lvlText w:val=""/>
      <w:lvlJc w:val="left"/>
      <w:pPr>
        <w:tabs>
          <w:tab w:val="num" w:pos="3600"/>
        </w:tabs>
        <w:ind w:left="3600" w:hanging="360"/>
      </w:pPr>
      <w:rPr>
        <w:rFonts w:ascii="Wingdings" w:hAnsi="Wingdings" w:hint="default"/>
      </w:rPr>
    </w:lvl>
    <w:lvl w:ilvl="5" w:tplc="AB28A6CE" w:tentative="1">
      <w:start w:val="1"/>
      <w:numFmt w:val="bullet"/>
      <w:lvlText w:val=""/>
      <w:lvlJc w:val="left"/>
      <w:pPr>
        <w:tabs>
          <w:tab w:val="num" w:pos="4320"/>
        </w:tabs>
        <w:ind w:left="4320" w:hanging="360"/>
      </w:pPr>
      <w:rPr>
        <w:rFonts w:ascii="Wingdings" w:hAnsi="Wingdings" w:hint="default"/>
      </w:rPr>
    </w:lvl>
    <w:lvl w:ilvl="6" w:tplc="AB5C814A" w:tentative="1">
      <w:start w:val="1"/>
      <w:numFmt w:val="bullet"/>
      <w:lvlText w:val=""/>
      <w:lvlJc w:val="left"/>
      <w:pPr>
        <w:tabs>
          <w:tab w:val="num" w:pos="5040"/>
        </w:tabs>
        <w:ind w:left="5040" w:hanging="360"/>
      </w:pPr>
      <w:rPr>
        <w:rFonts w:ascii="Wingdings" w:hAnsi="Wingdings" w:hint="default"/>
      </w:rPr>
    </w:lvl>
    <w:lvl w:ilvl="7" w:tplc="8CE6F198" w:tentative="1">
      <w:start w:val="1"/>
      <w:numFmt w:val="bullet"/>
      <w:lvlText w:val=""/>
      <w:lvlJc w:val="left"/>
      <w:pPr>
        <w:tabs>
          <w:tab w:val="num" w:pos="5760"/>
        </w:tabs>
        <w:ind w:left="5760" w:hanging="360"/>
      </w:pPr>
      <w:rPr>
        <w:rFonts w:ascii="Wingdings" w:hAnsi="Wingdings" w:hint="default"/>
      </w:rPr>
    </w:lvl>
    <w:lvl w:ilvl="8" w:tplc="DCA2AB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2458A"/>
    <w:multiLevelType w:val="hybridMultilevel"/>
    <w:tmpl w:val="F2CC2342"/>
    <w:lvl w:ilvl="0" w:tplc="1F0A08A0">
      <w:start w:val="1"/>
      <w:numFmt w:val="bullet"/>
      <w:lvlText w:val=""/>
      <w:lvlJc w:val="left"/>
      <w:pPr>
        <w:tabs>
          <w:tab w:val="num" w:pos="720"/>
        </w:tabs>
        <w:ind w:left="720" w:hanging="360"/>
      </w:pPr>
      <w:rPr>
        <w:rFonts w:ascii="Wingdings" w:hAnsi="Wingdings" w:hint="default"/>
      </w:rPr>
    </w:lvl>
    <w:lvl w:ilvl="1" w:tplc="4246DCE6" w:tentative="1">
      <w:start w:val="1"/>
      <w:numFmt w:val="bullet"/>
      <w:lvlText w:val=""/>
      <w:lvlJc w:val="left"/>
      <w:pPr>
        <w:tabs>
          <w:tab w:val="num" w:pos="1440"/>
        </w:tabs>
        <w:ind w:left="1440" w:hanging="360"/>
      </w:pPr>
      <w:rPr>
        <w:rFonts w:ascii="Wingdings" w:hAnsi="Wingdings" w:hint="default"/>
      </w:rPr>
    </w:lvl>
    <w:lvl w:ilvl="2" w:tplc="E5A22652" w:tentative="1">
      <w:start w:val="1"/>
      <w:numFmt w:val="bullet"/>
      <w:lvlText w:val=""/>
      <w:lvlJc w:val="left"/>
      <w:pPr>
        <w:tabs>
          <w:tab w:val="num" w:pos="2160"/>
        </w:tabs>
        <w:ind w:left="2160" w:hanging="360"/>
      </w:pPr>
      <w:rPr>
        <w:rFonts w:ascii="Wingdings" w:hAnsi="Wingdings" w:hint="default"/>
      </w:rPr>
    </w:lvl>
    <w:lvl w:ilvl="3" w:tplc="A258A410" w:tentative="1">
      <w:start w:val="1"/>
      <w:numFmt w:val="bullet"/>
      <w:lvlText w:val=""/>
      <w:lvlJc w:val="left"/>
      <w:pPr>
        <w:tabs>
          <w:tab w:val="num" w:pos="2880"/>
        </w:tabs>
        <w:ind w:left="2880" w:hanging="360"/>
      </w:pPr>
      <w:rPr>
        <w:rFonts w:ascii="Wingdings" w:hAnsi="Wingdings" w:hint="default"/>
      </w:rPr>
    </w:lvl>
    <w:lvl w:ilvl="4" w:tplc="716E1EF4" w:tentative="1">
      <w:start w:val="1"/>
      <w:numFmt w:val="bullet"/>
      <w:lvlText w:val=""/>
      <w:lvlJc w:val="left"/>
      <w:pPr>
        <w:tabs>
          <w:tab w:val="num" w:pos="3600"/>
        </w:tabs>
        <w:ind w:left="3600" w:hanging="360"/>
      </w:pPr>
      <w:rPr>
        <w:rFonts w:ascii="Wingdings" w:hAnsi="Wingdings" w:hint="default"/>
      </w:rPr>
    </w:lvl>
    <w:lvl w:ilvl="5" w:tplc="D3C85B7A" w:tentative="1">
      <w:start w:val="1"/>
      <w:numFmt w:val="bullet"/>
      <w:lvlText w:val=""/>
      <w:lvlJc w:val="left"/>
      <w:pPr>
        <w:tabs>
          <w:tab w:val="num" w:pos="4320"/>
        </w:tabs>
        <w:ind w:left="4320" w:hanging="360"/>
      </w:pPr>
      <w:rPr>
        <w:rFonts w:ascii="Wingdings" w:hAnsi="Wingdings" w:hint="default"/>
      </w:rPr>
    </w:lvl>
    <w:lvl w:ilvl="6" w:tplc="CB425C54" w:tentative="1">
      <w:start w:val="1"/>
      <w:numFmt w:val="bullet"/>
      <w:lvlText w:val=""/>
      <w:lvlJc w:val="left"/>
      <w:pPr>
        <w:tabs>
          <w:tab w:val="num" w:pos="5040"/>
        </w:tabs>
        <w:ind w:left="5040" w:hanging="360"/>
      </w:pPr>
      <w:rPr>
        <w:rFonts w:ascii="Wingdings" w:hAnsi="Wingdings" w:hint="default"/>
      </w:rPr>
    </w:lvl>
    <w:lvl w:ilvl="7" w:tplc="91668D88" w:tentative="1">
      <w:start w:val="1"/>
      <w:numFmt w:val="bullet"/>
      <w:lvlText w:val=""/>
      <w:lvlJc w:val="left"/>
      <w:pPr>
        <w:tabs>
          <w:tab w:val="num" w:pos="5760"/>
        </w:tabs>
        <w:ind w:left="5760" w:hanging="360"/>
      </w:pPr>
      <w:rPr>
        <w:rFonts w:ascii="Wingdings" w:hAnsi="Wingdings" w:hint="default"/>
      </w:rPr>
    </w:lvl>
    <w:lvl w:ilvl="8" w:tplc="07188F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E6A4B"/>
    <w:multiLevelType w:val="hybridMultilevel"/>
    <w:tmpl w:val="23A6DA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DF0E95"/>
    <w:multiLevelType w:val="hybridMultilevel"/>
    <w:tmpl w:val="1C9622D0"/>
    <w:lvl w:ilvl="0" w:tplc="2A706A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214A9B"/>
    <w:multiLevelType w:val="multilevel"/>
    <w:tmpl w:val="AD647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A5690"/>
    <w:multiLevelType w:val="hybridMultilevel"/>
    <w:tmpl w:val="48BCAD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637A01"/>
    <w:multiLevelType w:val="hybridMultilevel"/>
    <w:tmpl w:val="4FF00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A96878"/>
    <w:multiLevelType w:val="hybridMultilevel"/>
    <w:tmpl w:val="3036EC62"/>
    <w:lvl w:ilvl="0" w:tplc="2B8E6118">
      <w:start w:val="1"/>
      <w:numFmt w:val="bullet"/>
      <w:lvlText w:val=""/>
      <w:lvlJc w:val="left"/>
      <w:pPr>
        <w:tabs>
          <w:tab w:val="num" w:pos="720"/>
        </w:tabs>
        <w:ind w:left="720" w:hanging="360"/>
      </w:pPr>
      <w:rPr>
        <w:rFonts w:ascii="Wingdings" w:hAnsi="Wingdings" w:hint="default"/>
      </w:rPr>
    </w:lvl>
    <w:lvl w:ilvl="1" w:tplc="6C9ADC04" w:tentative="1">
      <w:start w:val="1"/>
      <w:numFmt w:val="bullet"/>
      <w:lvlText w:val=""/>
      <w:lvlJc w:val="left"/>
      <w:pPr>
        <w:tabs>
          <w:tab w:val="num" w:pos="1440"/>
        </w:tabs>
        <w:ind w:left="1440" w:hanging="360"/>
      </w:pPr>
      <w:rPr>
        <w:rFonts w:ascii="Wingdings" w:hAnsi="Wingdings" w:hint="default"/>
      </w:rPr>
    </w:lvl>
    <w:lvl w:ilvl="2" w:tplc="159C834C" w:tentative="1">
      <w:start w:val="1"/>
      <w:numFmt w:val="bullet"/>
      <w:lvlText w:val=""/>
      <w:lvlJc w:val="left"/>
      <w:pPr>
        <w:tabs>
          <w:tab w:val="num" w:pos="2160"/>
        </w:tabs>
        <w:ind w:left="2160" w:hanging="360"/>
      </w:pPr>
      <w:rPr>
        <w:rFonts w:ascii="Wingdings" w:hAnsi="Wingdings" w:hint="default"/>
      </w:rPr>
    </w:lvl>
    <w:lvl w:ilvl="3" w:tplc="8FE60274" w:tentative="1">
      <w:start w:val="1"/>
      <w:numFmt w:val="bullet"/>
      <w:lvlText w:val=""/>
      <w:lvlJc w:val="left"/>
      <w:pPr>
        <w:tabs>
          <w:tab w:val="num" w:pos="2880"/>
        </w:tabs>
        <w:ind w:left="2880" w:hanging="360"/>
      </w:pPr>
      <w:rPr>
        <w:rFonts w:ascii="Wingdings" w:hAnsi="Wingdings" w:hint="default"/>
      </w:rPr>
    </w:lvl>
    <w:lvl w:ilvl="4" w:tplc="796E17FA" w:tentative="1">
      <w:start w:val="1"/>
      <w:numFmt w:val="bullet"/>
      <w:lvlText w:val=""/>
      <w:lvlJc w:val="left"/>
      <w:pPr>
        <w:tabs>
          <w:tab w:val="num" w:pos="3600"/>
        </w:tabs>
        <w:ind w:left="3600" w:hanging="360"/>
      </w:pPr>
      <w:rPr>
        <w:rFonts w:ascii="Wingdings" w:hAnsi="Wingdings" w:hint="default"/>
      </w:rPr>
    </w:lvl>
    <w:lvl w:ilvl="5" w:tplc="49885F5A" w:tentative="1">
      <w:start w:val="1"/>
      <w:numFmt w:val="bullet"/>
      <w:lvlText w:val=""/>
      <w:lvlJc w:val="left"/>
      <w:pPr>
        <w:tabs>
          <w:tab w:val="num" w:pos="4320"/>
        </w:tabs>
        <w:ind w:left="4320" w:hanging="360"/>
      </w:pPr>
      <w:rPr>
        <w:rFonts w:ascii="Wingdings" w:hAnsi="Wingdings" w:hint="default"/>
      </w:rPr>
    </w:lvl>
    <w:lvl w:ilvl="6" w:tplc="91E23824" w:tentative="1">
      <w:start w:val="1"/>
      <w:numFmt w:val="bullet"/>
      <w:lvlText w:val=""/>
      <w:lvlJc w:val="left"/>
      <w:pPr>
        <w:tabs>
          <w:tab w:val="num" w:pos="5040"/>
        </w:tabs>
        <w:ind w:left="5040" w:hanging="360"/>
      </w:pPr>
      <w:rPr>
        <w:rFonts w:ascii="Wingdings" w:hAnsi="Wingdings" w:hint="default"/>
      </w:rPr>
    </w:lvl>
    <w:lvl w:ilvl="7" w:tplc="105E57FA" w:tentative="1">
      <w:start w:val="1"/>
      <w:numFmt w:val="bullet"/>
      <w:lvlText w:val=""/>
      <w:lvlJc w:val="left"/>
      <w:pPr>
        <w:tabs>
          <w:tab w:val="num" w:pos="5760"/>
        </w:tabs>
        <w:ind w:left="5760" w:hanging="360"/>
      </w:pPr>
      <w:rPr>
        <w:rFonts w:ascii="Wingdings" w:hAnsi="Wingdings" w:hint="default"/>
      </w:rPr>
    </w:lvl>
    <w:lvl w:ilvl="8" w:tplc="6A801E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AF46EB"/>
    <w:multiLevelType w:val="multilevel"/>
    <w:tmpl w:val="D2CC6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B6564"/>
    <w:multiLevelType w:val="hybridMultilevel"/>
    <w:tmpl w:val="D996F32E"/>
    <w:lvl w:ilvl="0" w:tplc="F124901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C778AB"/>
    <w:multiLevelType w:val="hybridMultilevel"/>
    <w:tmpl w:val="69EE44F2"/>
    <w:lvl w:ilvl="0" w:tplc="F124901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FA7952"/>
    <w:multiLevelType w:val="multilevel"/>
    <w:tmpl w:val="0BEEE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F329D"/>
    <w:multiLevelType w:val="hybridMultilevel"/>
    <w:tmpl w:val="84F4E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2B443C"/>
    <w:multiLevelType w:val="hybridMultilevel"/>
    <w:tmpl w:val="D890AD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6A4F87"/>
    <w:multiLevelType w:val="hybridMultilevel"/>
    <w:tmpl w:val="831EA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95157D"/>
    <w:multiLevelType w:val="hybridMultilevel"/>
    <w:tmpl w:val="D9229C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7C2683"/>
    <w:multiLevelType w:val="hybridMultilevel"/>
    <w:tmpl w:val="554A7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D460E7"/>
    <w:multiLevelType w:val="hybridMultilevel"/>
    <w:tmpl w:val="905C93C2"/>
    <w:lvl w:ilvl="0" w:tplc="0B843C76">
      <w:start w:val="1"/>
      <w:numFmt w:val="bullet"/>
      <w:lvlText w:val="•"/>
      <w:lvlJc w:val="left"/>
      <w:pPr>
        <w:tabs>
          <w:tab w:val="num" w:pos="720"/>
        </w:tabs>
        <w:ind w:left="720" w:hanging="360"/>
      </w:pPr>
      <w:rPr>
        <w:rFonts w:ascii="Arial" w:hAnsi="Arial" w:hint="default"/>
      </w:rPr>
    </w:lvl>
    <w:lvl w:ilvl="1" w:tplc="F7D0A050">
      <w:start w:val="1"/>
      <w:numFmt w:val="bullet"/>
      <w:lvlText w:val="•"/>
      <w:lvlJc w:val="left"/>
      <w:pPr>
        <w:tabs>
          <w:tab w:val="num" w:pos="1440"/>
        </w:tabs>
        <w:ind w:left="1440" w:hanging="360"/>
      </w:pPr>
      <w:rPr>
        <w:rFonts w:ascii="Arial" w:hAnsi="Arial" w:hint="default"/>
      </w:rPr>
    </w:lvl>
    <w:lvl w:ilvl="2" w:tplc="B8DEAF12" w:tentative="1">
      <w:start w:val="1"/>
      <w:numFmt w:val="bullet"/>
      <w:lvlText w:val="•"/>
      <w:lvlJc w:val="left"/>
      <w:pPr>
        <w:tabs>
          <w:tab w:val="num" w:pos="2160"/>
        </w:tabs>
        <w:ind w:left="2160" w:hanging="360"/>
      </w:pPr>
      <w:rPr>
        <w:rFonts w:ascii="Arial" w:hAnsi="Arial" w:hint="default"/>
      </w:rPr>
    </w:lvl>
    <w:lvl w:ilvl="3" w:tplc="CA940906" w:tentative="1">
      <w:start w:val="1"/>
      <w:numFmt w:val="bullet"/>
      <w:lvlText w:val="•"/>
      <w:lvlJc w:val="left"/>
      <w:pPr>
        <w:tabs>
          <w:tab w:val="num" w:pos="2880"/>
        </w:tabs>
        <w:ind w:left="2880" w:hanging="360"/>
      </w:pPr>
      <w:rPr>
        <w:rFonts w:ascii="Arial" w:hAnsi="Arial" w:hint="default"/>
      </w:rPr>
    </w:lvl>
    <w:lvl w:ilvl="4" w:tplc="A5F8B3EA" w:tentative="1">
      <w:start w:val="1"/>
      <w:numFmt w:val="bullet"/>
      <w:lvlText w:val="•"/>
      <w:lvlJc w:val="left"/>
      <w:pPr>
        <w:tabs>
          <w:tab w:val="num" w:pos="3600"/>
        </w:tabs>
        <w:ind w:left="3600" w:hanging="360"/>
      </w:pPr>
      <w:rPr>
        <w:rFonts w:ascii="Arial" w:hAnsi="Arial" w:hint="default"/>
      </w:rPr>
    </w:lvl>
    <w:lvl w:ilvl="5" w:tplc="BCAC9AF6" w:tentative="1">
      <w:start w:val="1"/>
      <w:numFmt w:val="bullet"/>
      <w:lvlText w:val="•"/>
      <w:lvlJc w:val="left"/>
      <w:pPr>
        <w:tabs>
          <w:tab w:val="num" w:pos="4320"/>
        </w:tabs>
        <w:ind w:left="4320" w:hanging="360"/>
      </w:pPr>
      <w:rPr>
        <w:rFonts w:ascii="Arial" w:hAnsi="Arial" w:hint="default"/>
      </w:rPr>
    </w:lvl>
    <w:lvl w:ilvl="6" w:tplc="635E8E80" w:tentative="1">
      <w:start w:val="1"/>
      <w:numFmt w:val="bullet"/>
      <w:lvlText w:val="•"/>
      <w:lvlJc w:val="left"/>
      <w:pPr>
        <w:tabs>
          <w:tab w:val="num" w:pos="5040"/>
        </w:tabs>
        <w:ind w:left="5040" w:hanging="360"/>
      </w:pPr>
      <w:rPr>
        <w:rFonts w:ascii="Arial" w:hAnsi="Arial" w:hint="default"/>
      </w:rPr>
    </w:lvl>
    <w:lvl w:ilvl="7" w:tplc="2EF26B58" w:tentative="1">
      <w:start w:val="1"/>
      <w:numFmt w:val="bullet"/>
      <w:lvlText w:val="•"/>
      <w:lvlJc w:val="left"/>
      <w:pPr>
        <w:tabs>
          <w:tab w:val="num" w:pos="5760"/>
        </w:tabs>
        <w:ind w:left="5760" w:hanging="360"/>
      </w:pPr>
      <w:rPr>
        <w:rFonts w:ascii="Arial" w:hAnsi="Arial" w:hint="default"/>
      </w:rPr>
    </w:lvl>
    <w:lvl w:ilvl="8" w:tplc="AD5E6C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91110C"/>
    <w:multiLevelType w:val="hybridMultilevel"/>
    <w:tmpl w:val="F21CC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296284"/>
    <w:multiLevelType w:val="hybridMultilevel"/>
    <w:tmpl w:val="621E7B70"/>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5132BB"/>
    <w:multiLevelType w:val="multilevel"/>
    <w:tmpl w:val="B936E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F12ED0"/>
    <w:multiLevelType w:val="hybridMultilevel"/>
    <w:tmpl w:val="F9FE2FF2"/>
    <w:lvl w:ilvl="0" w:tplc="6CF8C1E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57F619E"/>
    <w:multiLevelType w:val="hybridMultilevel"/>
    <w:tmpl w:val="60FAAA82"/>
    <w:lvl w:ilvl="0" w:tplc="7E5067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CA569D"/>
    <w:multiLevelType w:val="hybridMultilevel"/>
    <w:tmpl w:val="7DCA3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E24D97"/>
    <w:multiLevelType w:val="hybridMultilevel"/>
    <w:tmpl w:val="90802070"/>
    <w:lvl w:ilvl="0" w:tplc="DBC0EE4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B2781C"/>
    <w:multiLevelType w:val="hybridMultilevel"/>
    <w:tmpl w:val="4C12B972"/>
    <w:lvl w:ilvl="0" w:tplc="F124901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960704"/>
    <w:multiLevelType w:val="hybridMultilevel"/>
    <w:tmpl w:val="C74682E0"/>
    <w:lvl w:ilvl="0" w:tplc="359067E4">
      <w:start w:val="1"/>
      <w:numFmt w:val="bullet"/>
      <w:lvlText w:val="•"/>
      <w:lvlJc w:val="left"/>
      <w:pPr>
        <w:tabs>
          <w:tab w:val="num" w:pos="720"/>
        </w:tabs>
        <w:ind w:left="720" w:hanging="360"/>
      </w:pPr>
      <w:rPr>
        <w:rFonts w:ascii="Arial" w:hAnsi="Arial" w:hint="default"/>
      </w:rPr>
    </w:lvl>
    <w:lvl w:ilvl="1" w:tplc="F7C87B1C" w:tentative="1">
      <w:start w:val="1"/>
      <w:numFmt w:val="bullet"/>
      <w:lvlText w:val="•"/>
      <w:lvlJc w:val="left"/>
      <w:pPr>
        <w:tabs>
          <w:tab w:val="num" w:pos="1440"/>
        </w:tabs>
        <w:ind w:left="1440" w:hanging="360"/>
      </w:pPr>
      <w:rPr>
        <w:rFonts w:ascii="Arial" w:hAnsi="Arial" w:hint="default"/>
      </w:rPr>
    </w:lvl>
    <w:lvl w:ilvl="2" w:tplc="7D68721A" w:tentative="1">
      <w:start w:val="1"/>
      <w:numFmt w:val="bullet"/>
      <w:lvlText w:val="•"/>
      <w:lvlJc w:val="left"/>
      <w:pPr>
        <w:tabs>
          <w:tab w:val="num" w:pos="2160"/>
        </w:tabs>
        <w:ind w:left="2160" w:hanging="360"/>
      </w:pPr>
      <w:rPr>
        <w:rFonts w:ascii="Arial" w:hAnsi="Arial" w:hint="default"/>
      </w:rPr>
    </w:lvl>
    <w:lvl w:ilvl="3" w:tplc="C2D4E51C" w:tentative="1">
      <w:start w:val="1"/>
      <w:numFmt w:val="bullet"/>
      <w:lvlText w:val="•"/>
      <w:lvlJc w:val="left"/>
      <w:pPr>
        <w:tabs>
          <w:tab w:val="num" w:pos="2880"/>
        </w:tabs>
        <w:ind w:left="2880" w:hanging="360"/>
      </w:pPr>
      <w:rPr>
        <w:rFonts w:ascii="Arial" w:hAnsi="Arial" w:hint="default"/>
      </w:rPr>
    </w:lvl>
    <w:lvl w:ilvl="4" w:tplc="16CCEE32" w:tentative="1">
      <w:start w:val="1"/>
      <w:numFmt w:val="bullet"/>
      <w:lvlText w:val="•"/>
      <w:lvlJc w:val="left"/>
      <w:pPr>
        <w:tabs>
          <w:tab w:val="num" w:pos="3600"/>
        </w:tabs>
        <w:ind w:left="3600" w:hanging="360"/>
      </w:pPr>
      <w:rPr>
        <w:rFonts w:ascii="Arial" w:hAnsi="Arial" w:hint="default"/>
      </w:rPr>
    </w:lvl>
    <w:lvl w:ilvl="5" w:tplc="823E2CE8" w:tentative="1">
      <w:start w:val="1"/>
      <w:numFmt w:val="bullet"/>
      <w:lvlText w:val="•"/>
      <w:lvlJc w:val="left"/>
      <w:pPr>
        <w:tabs>
          <w:tab w:val="num" w:pos="4320"/>
        </w:tabs>
        <w:ind w:left="4320" w:hanging="360"/>
      </w:pPr>
      <w:rPr>
        <w:rFonts w:ascii="Arial" w:hAnsi="Arial" w:hint="default"/>
      </w:rPr>
    </w:lvl>
    <w:lvl w:ilvl="6" w:tplc="2EB8A43A" w:tentative="1">
      <w:start w:val="1"/>
      <w:numFmt w:val="bullet"/>
      <w:lvlText w:val="•"/>
      <w:lvlJc w:val="left"/>
      <w:pPr>
        <w:tabs>
          <w:tab w:val="num" w:pos="5040"/>
        </w:tabs>
        <w:ind w:left="5040" w:hanging="360"/>
      </w:pPr>
      <w:rPr>
        <w:rFonts w:ascii="Arial" w:hAnsi="Arial" w:hint="default"/>
      </w:rPr>
    </w:lvl>
    <w:lvl w:ilvl="7" w:tplc="DAD26786" w:tentative="1">
      <w:start w:val="1"/>
      <w:numFmt w:val="bullet"/>
      <w:lvlText w:val="•"/>
      <w:lvlJc w:val="left"/>
      <w:pPr>
        <w:tabs>
          <w:tab w:val="num" w:pos="5760"/>
        </w:tabs>
        <w:ind w:left="5760" w:hanging="360"/>
      </w:pPr>
      <w:rPr>
        <w:rFonts w:ascii="Arial" w:hAnsi="Arial" w:hint="default"/>
      </w:rPr>
    </w:lvl>
    <w:lvl w:ilvl="8" w:tplc="E2D48C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B70D0C"/>
    <w:multiLevelType w:val="hybridMultilevel"/>
    <w:tmpl w:val="8CE0EDC2"/>
    <w:lvl w:ilvl="0" w:tplc="0410000F">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num w:numId="1" w16cid:durableId="1571961502">
    <w:abstractNumId w:val="3"/>
  </w:num>
  <w:num w:numId="2" w16cid:durableId="1905023521">
    <w:abstractNumId w:val="13"/>
  </w:num>
  <w:num w:numId="3" w16cid:durableId="1986004150">
    <w:abstractNumId w:val="0"/>
  </w:num>
  <w:num w:numId="4" w16cid:durableId="1275015637">
    <w:abstractNumId w:val="21"/>
  </w:num>
  <w:num w:numId="5" w16cid:durableId="827020432">
    <w:abstractNumId w:val="17"/>
  </w:num>
  <w:num w:numId="6" w16cid:durableId="1371224645">
    <w:abstractNumId w:val="9"/>
  </w:num>
  <w:num w:numId="7" w16cid:durableId="626354246">
    <w:abstractNumId w:val="1"/>
  </w:num>
  <w:num w:numId="8" w16cid:durableId="1976642162">
    <w:abstractNumId w:val="29"/>
  </w:num>
  <w:num w:numId="9" w16cid:durableId="1390033912">
    <w:abstractNumId w:val="16"/>
  </w:num>
  <w:num w:numId="10" w16cid:durableId="1084843160">
    <w:abstractNumId w:val="26"/>
  </w:num>
  <w:num w:numId="11" w16cid:durableId="1091314402">
    <w:abstractNumId w:val="27"/>
  </w:num>
  <w:num w:numId="12" w16cid:durableId="1101103086">
    <w:abstractNumId w:val="6"/>
  </w:num>
  <w:num w:numId="13" w16cid:durableId="989796214">
    <w:abstractNumId w:val="15"/>
  </w:num>
  <w:num w:numId="14" w16cid:durableId="1147089417">
    <w:abstractNumId w:val="25"/>
  </w:num>
  <w:num w:numId="15" w16cid:durableId="1971789205">
    <w:abstractNumId w:val="5"/>
  </w:num>
  <w:num w:numId="16" w16cid:durableId="176501538">
    <w:abstractNumId w:val="22"/>
  </w:num>
  <w:num w:numId="17" w16cid:durableId="1269779620">
    <w:abstractNumId w:val="18"/>
  </w:num>
  <w:num w:numId="18" w16cid:durableId="2040203099">
    <w:abstractNumId w:val="10"/>
  </w:num>
  <w:num w:numId="19" w16cid:durableId="894698440">
    <w:abstractNumId w:val="8"/>
  </w:num>
  <w:num w:numId="20" w16cid:durableId="1788232920">
    <w:abstractNumId w:val="19"/>
  </w:num>
  <w:num w:numId="21" w16cid:durableId="1293167906">
    <w:abstractNumId w:val="24"/>
  </w:num>
  <w:num w:numId="22" w16cid:durableId="271935140">
    <w:abstractNumId w:val="30"/>
  </w:num>
  <w:num w:numId="23" w16cid:durableId="571542396">
    <w:abstractNumId w:val="4"/>
  </w:num>
  <w:num w:numId="24" w16cid:durableId="1125389786">
    <w:abstractNumId w:val="28"/>
  </w:num>
  <w:num w:numId="25" w16cid:durableId="330722033">
    <w:abstractNumId w:val="20"/>
  </w:num>
  <w:num w:numId="26" w16cid:durableId="2122918992">
    <w:abstractNumId w:val="12"/>
  </w:num>
  <w:num w:numId="27" w16cid:durableId="1303080394">
    <w:abstractNumId w:val="7"/>
  </w:num>
  <w:num w:numId="28" w16cid:durableId="415322685">
    <w:abstractNumId w:val="14"/>
  </w:num>
  <w:num w:numId="29" w16cid:durableId="668751013">
    <w:abstractNumId w:val="11"/>
  </w:num>
  <w:num w:numId="30" w16cid:durableId="1893037016">
    <w:abstractNumId w:val="2"/>
  </w:num>
  <w:num w:numId="31" w16cid:durableId="12050227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tzQ2NTIxMLI0NDZT0lEKTi0uzszPAykwrwUAowAJ9CwAAAA="/>
  </w:docVars>
  <w:rsids>
    <w:rsidRoot w:val="006F1798"/>
    <w:rsid w:val="00022AB4"/>
    <w:rsid w:val="00024FA4"/>
    <w:rsid w:val="0002714B"/>
    <w:rsid w:val="0003369F"/>
    <w:rsid w:val="00033C27"/>
    <w:rsid w:val="000367BD"/>
    <w:rsid w:val="00036BC7"/>
    <w:rsid w:val="000431B6"/>
    <w:rsid w:val="000439B3"/>
    <w:rsid w:val="00043F09"/>
    <w:rsid w:val="000600CC"/>
    <w:rsid w:val="000661EE"/>
    <w:rsid w:val="0006641A"/>
    <w:rsid w:val="00082E28"/>
    <w:rsid w:val="00084F29"/>
    <w:rsid w:val="00090F59"/>
    <w:rsid w:val="00092F67"/>
    <w:rsid w:val="00093AEF"/>
    <w:rsid w:val="000963B8"/>
    <w:rsid w:val="000A24D5"/>
    <w:rsid w:val="000A5109"/>
    <w:rsid w:val="000A60DB"/>
    <w:rsid w:val="000A6FCE"/>
    <w:rsid w:val="000B3FA0"/>
    <w:rsid w:val="000B5E10"/>
    <w:rsid w:val="000B7FF3"/>
    <w:rsid w:val="000C3931"/>
    <w:rsid w:val="000C4692"/>
    <w:rsid w:val="000C6634"/>
    <w:rsid w:val="000D0DF1"/>
    <w:rsid w:val="000D23FE"/>
    <w:rsid w:val="000E15CD"/>
    <w:rsid w:val="000F1030"/>
    <w:rsid w:val="000F1749"/>
    <w:rsid w:val="0010342B"/>
    <w:rsid w:val="00116C40"/>
    <w:rsid w:val="001206F2"/>
    <w:rsid w:val="00131A90"/>
    <w:rsid w:val="00132709"/>
    <w:rsid w:val="0014104C"/>
    <w:rsid w:val="00142995"/>
    <w:rsid w:val="001505F7"/>
    <w:rsid w:val="00156708"/>
    <w:rsid w:val="001608A5"/>
    <w:rsid w:val="0016116E"/>
    <w:rsid w:val="00165FC9"/>
    <w:rsid w:val="001664B0"/>
    <w:rsid w:val="001804D6"/>
    <w:rsid w:val="00191BA9"/>
    <w:rsid w:val="001A523C"/>
    <w:rsid w:val="001B3034"/>
    <w:rsid w:val="001B402D"/>
    <w:rsid w:val="001B48D6"/>
    <w:rsid w:val="001B548F"/>
    <w:rsid w:val="001C1FFD"/>
    <w:rsid w:val="001C38DE"/>
    <w:rsid w:val="001D0591"/>
    <w:rsid w:val="001D446E"/>
    <w:rsid w:val="001F3146"/>
    <w:rsid w:val="001F3E67"/>
    <w:rsid w:val="002033AA"/>
    <w:rsid w:val="0021366E"/>
    <w:rsid w:val="00227BEB"/>
    <w:rsid w:val="002328E2"/>
    <w:rsid w:val="002335FB"/>
    <w:rsid w:val="0023548F"/>
    <w:rsid w:val="002436F4"/>
    <w:rsid w:val="00252AA6"/>
    <w:rsid w:val="00264A57"/>
    <w:rsid w:val="00270584"/>
    <w:rsid w:val="00275821"/>
    <w:rsid w:val="0028277C"/>
    <w:rsid w:val="002833CF"/>
    <w:rsid w:val="00297766"/>
    <w:rsid w:val="002A1AD6"/>
    <w:rsid w:val="002C760E"/>
    <w:rsid w:val="002D5A3C"/>
    <w:rsid w:val="002E097F"/>
    <w:rsid w:val="002E11B6"/>
    <w:rsid w:val="002E51E5"/>
    <w:rsid w:val="002F0F07"/>
    <w:rsid w:val="00303590"/>
    <w:rsid w:val="00305BFC"/>
    <w:rsid w:val="00312EAA"/>
    <w:rsid w:val="003218C0"/>
    <w:rsid w:val="003310B6"/>
    <w:rsid w:val="00340F8C"/>
    <w:rsid w:val="0034558A"/>
    <w:rsid w:val="00354B6F"/>
    <w:rsid w:val="0036015A"/>
    <w:rsid w:val="0036360A"/>
    <w:rsid w:val="00364298"/>
    <w:rsid w:val="003647DC"/>
    <w:rsid w:val="00366AF4"/>
    <w:rsid w:val="00374DBD"/>
    <w:rsid w:val="00375E34"/>
    <w:rsid w:val="0039046F"/>
    <w:rsid w:val="00391508"/>
    <w:rsid w:val="00392347"/>
    <w:rsid w:val="003923F9"/>
    <w:rsid w:val="003A0F0B"/>
    <w:rsid w:val="003B0984"/>
    <w:rsid w:val="003B0AF7"/>
    <w:rsid w:val="003C0D8A"/>
    <w:rsid w:val="003C174A"/>
    <w:rsid w:val="003D1EB1"/>
    <w:rsid w:val="003F0F53"/>
    <w:rsid w:val="0042002B"/>
    <w:rsid w:val="004255EA"/>
    <w:rsid w:val="00431563"/>
    <w:rsid w:val="004358C8"/>
    <w:rsid w:val="00436437"/>
    <w:rsid w:val="00442EF1"/>
    <w:rsid w:val="00453EA4"/>
    <w:rsid w:val="00455C1C"/>
    <w:rsid w:val="004576D1"/>
    <w:rsid w:val="00460792"/>
    <w:rsid w:val="00460EF1"/>
    <w:rsid w:val="00463DCC"/>
    <w:rsid w:val="00464BD1"/>
    <w:rsid w:val="00467A01"/>
    <w:rsid w:val="00472E6F"/>
    <w:rsid w:val="00473201"/>
    <w:rsid w:val="004755BC"/>
    <w:rsid w:val="004808F7"/>
    <w:rsid w:val="00483ACA"/>
    <w:rsid w:val="00485C05"/>
    <w:rsid w:val="004876A6"/>
    <w:rsid w:val="00490962"/>
    <w:rsid w:val="004961A2"/>
    <w:rsid w:val="00497811"/>
    <w:rsid w:val="004A3BD8"/>
    <w:rsid w:val="004B1D03"/>
    <w:rsid w:val="004B230C"/>
    <w:rsid w:val="004B666A"/>
    <w:rsid w:val="004C21CC"/>
    <w:rsid w:val="004D73F2"/>
    <w:rsid w:val="004E0783"/>
    <w:rsid w:val="004E2293"/>
    <w:rsid w:val="004E392A"/>
    <w:rsid w:val="004E4968"/>
    <w:rsid w:val="004E6487"/>
    <w:rsid w:val="004F2E59"/>
    <w:rsid w:val="00500B8A"/>
    <w:rsid w:val="00505CC3"/>
    <w:rsid w:val="00506699"/>
    <w:rsid w:val="00550857"/>
    <w:rsid w:val="0055311C"/>
    <w:rsid w:val="005550F5"/>
    <w:rsid w:val="005622F4"/>
    <w:rsid w:val="00562478"/>
    <w:rsid w:val="00565F55"/>
    <w:rsid w:val="005678F5"/>
    <w:rsid w:val="005723C0"/>
    <w:rsid w:val="00573893"/>
    <w:rsid w:val="005763D1"/>
    <w:rsid w:val="00577B5F"/>
    <w:rsid w:val="00580D79"/>
    <w:rsid w:val="00581EA5"/>
    <w:rsid w:val="00593337"/>
    <w:rsid w:val="005962DB"/>
    <w:rsid w:val="005A14E7"/>
    <w:rsid w:val="005A3F8B"/>
    <w:rsid w:val="005A3FCC"/>
    <w:rsid w:val="005A61F9"/>
    <w:rsid w:val="005B0BD2"/>
    <w:rsid w:val="005B1C0E"/>
    <w:rsid w:val="005D02E2"/>
    <w:rsid w:val="005D7124"/>
    <w:rsid w:val="005E08B9"/>
    <w:rsid w:val="005E4A24"/>
    <w:rsid w:val="005E4AD4"/>
    <w:rsid w:val="006000E9"/>
    <w:rsid w:val="0060641D"/>
    <w:rsid w:val="006155CD"/>
    <w:rsid w:val="00625976"/>
    <w:rsid w:val="00625FFA"/>
    <w:rsid w:val="00626B10"/>
    <w:rsid w:val="00630737"/>
    <w:rsid w:val="00645F73"/>
    <w:rsid w:val="00646884"/>
    <w:rsid w:val="00646C9A"/>
    <w:rsid w:val="006607E1"/>
    <w:rsid w:val="006707D1"/>
    <w:rsid w:val="00670E36"/>
    <w:rsid w:val="00683388"/>
    <w:rsid w:val="00690356"/>
    <w:rsid w:val="00691922"/>
    <w:rsid w:val="006A4F7C"/>
    <w:rsid w:val="006A6F44"/>
    <w:rsid w:val="006C07AC"/>
    <w:rsid w:val="006C7B71"/>
    <w:rsid w:val="006D1730"/>
    <w:rsid w:val="006D77DB"/>
    <w:rsid w:val="006E0334"/>
    <w:rsid w:val="006E0845"/>
    <w:rsid w:val="006E26A9"/>
    <w:rsid w:val="006F0D56"/>
    <w:rsid w:val="006F1798"/>
    <w:rsid w:val="0070028A"/>
    <w:rsid w:val="00721F1F"/>
    <w:rsid w:val="007272A1"/>
    <w:rsid w:val="00731E9B"/>
    <w:rsid w:val="00734B95"/>
    <w:rsid w:val="00736095"/>
    <w:rsid w:val="00737879"/>
    <w:rsid w:val="00746B71"/>
    <w:rsid w:val="00770E25"/>
    <w:rsid w:val="00773521"/>
    <w:rsid w:val="00774ECA"/>
    <w:rsid w:val="007762D8"/>
    <w:rsid w:val="007831E8"/>
    <w:rsid w:val="00783D4C"/>
    <w:rsid w:val="00784495"/>
    <w:rsid w:val="007862B2"/>
    <w:rsid w:val="00794742"/>
    <w:rsid w:val="00796AC6"/>
    <w:rsid w:val="007A5FD3"/>
    <w:rsid w:val="007C6C10"/>
    <w:rsid w:val="007D6133"/>
    <w:rsid w:val="007E7C1B"/>
    <w:rsid w:val="007F311A"/>
    <w:rsid w:val="008102FC"/>
    <w:rsid w:val="00810842"/>
    <w:rsid w:val="00811669"/>
    <w:rsid w:val="008125C3"/>
    <w:rsid w:val="00816A32"/>
    <w:rsid w:val="008202E4"/>
    <w:rsid w:val="0082250C"/>
    <w:rsid w:val="00826F16"/>
    <w:rsid w:val="00836168"/>
    <w:rsid w:val="0085342F"/>
    <w:rsid w:val="0085430D"/>
    <w:rsid w:val="00854EFD"/>
    <w:rsid w:val="008770D0"/>
    <w:rsid w:val="00877C57"/>
    <w:rsid w:val="0088043B"/>
    <w:rsid w:val="00881927"/>
    <w:rsid w:val="00892DC3"/>
    <w:rsid w:val="008975E7"/>
    <w:rsid w:val="008B447D"/>
    <w:rsid w:val="008B56E5"/>
    <w:rsid w:val="008C35E3"/>
    <w:rsid w:val="008C616C"/>
    <w:rsid w:val="008D3C2D"/>
    <w:rsid w:val="008D6992"/>
    <w:rsid w:val="008E399A"/>
    <w:rsid w:val="008E638A"/>
    <w:rsid w:val="008E7174"/>
    <w:rsid w:val="008F27AB"/>
    <w:rsid w:val="0091547F"/>
    <w:rsid w:val="009233DF"/>
    <w:rsid w:val="00924DFB"/>
    <w:rsid w:val="00932DB8"/>
    <w:rsid w:val="009367E9"/>
    <w:rsid w:val="009403C5"/>
    <w:rsid w:val="00956330"/>
    <w:rsid w:val="00957BCD"/>
    <w:rsid w:val="00965B0C"/>
    <w:rsid w:val="00966277"/>
    <w:rsid w:val="009759C3"/>
    <w:rsid w:val="00982BB5"/>
    <w:rsid w:val="00985E71"/>
    <w:rsid w:val="00987D30"/>
    <w:rsid w:val="00991FA5"/>
    <w:rsid w:val="009945B8"/>
    <w:rsid w:val="009A2D0C"/>
    <w:rsid w:val="009A5DED"/>
    <w:rsid w:val="009B00E1"/>
    <w:rsid w:val="009B31C5"/>
    <w:rsid w:val="009B3BCE"/>
    <w:rsid w:val="009B4B2D"/>
    <w:rsid w:val="009E5079"/>
    <w:rsid w:val="009E5284"/>
    <w:rsid w:val="009E6A10"/>
    <w:rsid w:val="009F38FE"/>
    <w:rsid w:val="009F4A10"/>
    <w:rsid w:val="009F6950"/>
    <w:rsid w:val="009F6CC6"/>
    <w:rsid w:val="00A243A2"/>
    <w:rsid w:val="00A315D0"/>
    <w:rsid w:val="00A3217E"/>
    <w:rsid w:val="00A36910"/>
    <w:rsid w:val="00A57539"/>
    <w:rsid w:val="00A63233"/>
    <w:rsid w:val="00A65DEB"/>
    <w:rsid w:val="00A718BF"/>
    <w:rsid w:val="00A9009D"/>
    <w:rsid w:val="00A927A1"/>
    <w:rsid w:val="00A93B25"/>
    <w:rsid w:val="00AA3ECA"/>
    <w:rsid w:val="00AA4724"/>
    <w:rsid w:val="00AB73F2"/>
    <w:rsid w:val="00AC020B"/>
    <w:rsid w:val="00AC5F1C"/>
    <w:rsid w:val="00AC7E9F"/>
    <w:rsid w:val="00AE1AAB"/>
    <w:rsid w:val="00AE469E"/>
    <w:rsid w:val="00B031B8"/>
    <w:rsid w:val="00B0425E"/>
    <w:rsid w:val="00B04297"/>
    <w:rsid w:val="00B060AB"/>
    <w:rsid w:val="00B12839"/>
    <w:rsid w:val="00B1769A"/>
    <w:rsid w:val="00B176B8"/>
    <w:rsid w:val="00B24FFD"/>
    <w:rsid w:val="00B2577E"/>
    <w:rsid w:val="00B26BB5"/>
    <w:rsid w:val="00B27226"/>
    <w:rsid w:val="00B27CCB"/>
    <w:rsid w:val="00B36E56"/>
    <w:rsid w:val="00B376F4"/>
    <w:rsid w:val="00B4169D"/>
    <w:rsid w:val="00B44108"/>
    <w:rsid w:val="00B465C6"/>
    <w:rsid w:val="00B5019A"/>
    <w:rsid w:val="00B61025"/>
    <w:rsid w:val="00B61939"/>
    <w:rsid w:val="00B63B23"/>
    <w:rsid w:val="00B651EB"/>
    <w:rsid w:val="00B72F08"/>
    <w:rsid w:val="00B7430B"/>
    <w:rsid w:val="00B7620D"/>
    <w:rsid w:val="00B8640B"/>
    <w:rsid w:val="00B9004F"/>
    <w:rsid w:val="00BA6E99"/>
    <w:rsid w:val="00BA7851"/>
    <w:rsid w:val="00BE1EC2"/>
    <w:rsid w:val="00BE7B11"/>
    <w:rsid w:val="00BF38B5"/>
    <w:rsid w:val="00C02195"/>
    <w:rsid w:val="00C110BB"/>
    <w:rsid w:val="00C13DC0"/>
    <w:rsid w:val="00C15AA8"/>
    <w:rsid w:val="00C15BD8"/>
    <w:rsid w:val="00C175D6"/>
    <w:rsid w:val="00C17DAE"/>
    <w:rsid w:val="00C27C5E"/>
    <w:rsid w:val="00C329D2"/>
    <w:rsid w:val="00C331B7"/>
    <w:rsid w:val="00C36356"/>
    <w:rsid w:val="00C4437F"/>
    <w:rsid w:val="00C513DB"/>
    <w:rsid w:val="00C654B4"/>
    <w:rsid w:val="00C655AA"/>
    <w:rsid w:val="00C700EE"/>
    <w:rsid w:val="00C71FC2"/>
    <w:rsid w:val="00C74434"/>
    <w:rsid w:val="00C80CF7"/>
    <w:rsid w:val="00C80D66"/>
    <w:rsid w:val="00C85AC8"/>
    <w:rsid w:val="00C86AAB"/>
    <w:rsid w:val="00CA24D6"/>
    <w:rsid w:val="00CA61D8"/>
    <w:rsid w:val="00CB76C9"/>
    <w:rsid w:val="00CC5B86"/>
    <w:rsid w:val="00CC65F3"/>
    <w:rsid w:val="00CD1EAE"/>
    <w:rsid w:val="00CD5831"/>
    <w:rsid w:val="00CD79D9"/>
    <w:rsid w:val="00CE180E"/>
    <w:rsid w:val="00CE2D6E"/>
    <w:rsid w:val="00CE44E5"/>
    <w:rsid w:val="00CE5848"/>
    <w:rsid w:val="00CE6404"/>
    <w:rsid w:val="00CF15AE"/>
    <w:rsid w:val="00CF19F6"/>
    <w:rsid w:val="00D0375B"/>
    <w:rsid w:val="00D066E1"/>
    <w:rsid w:val="00D11B45"/>
    <w:rsid w:val="00D12CAA"/>
    <w:rsid w:val="00D13A2B"/>
    <w:rsid w:val="00D160D9"/>
    <w:rsid w:val="00D246E6"/>
    <w:rsid w:val="00D3732A"/>
    <w:rsid w:val="00D47FD5"/>
    <w:rsid w:val="00D518F0"/>
    <w:rsid w:val="00D610A4"/>
    <w:rsid w:val="00D611B3"/>
    <w:rsid w:val="00D61F13"/>
    <w:rsid w:val="00D64664"/>
    <w:rsid w:val="00D7369C"/>
    <w:rsid w:val="00D756F2"/>
    <w:rsid w:val="00D8259F"/>
    <w:rsid w:val="00D907B1"/>
    <w:rsid w:val="00D94232"/>
    <w:rsid w:val="00D947E3"/>
    <w:rsid w:val="00D9606D"/>
    <w:rsid w:val="00D9626B"/>
    <w:rsid w:val="00D9686E"/>
    <w:rsid w:val="00DA33D7"/>
    <w:rsid w:val="00DA7B83"/>
    <w:rsid w:val="00DC2E8F"/>
    <w:rsid w:val="00DC4C1F"/>
    <w:rsid w:val="00DD5A3F"/>
    <w:rsid w:val="00DD6173"/>
    <w:rsid w:val="00DE17C0"/>
    <w:rsid w:val="00DF09CA"/>
    <w:rsid w:val="00DF563A"/>
    <w:rsid w:val="00E02E59"/>
    <w:rsid w:val="00E04CAB"/>
    <w:rsid w:val="00E13177"/>
    <w:rsid w:val="00E27731"/>
    <w:rsid w:val="00E32F87"/>
    <w:rsid w:val="00E45DBA"/>
    <w:rsid w:val="00E47FE0"/>
    <w:rsid w:val="00E50056"/>
    <w:rsid w:val="00E57DC9"/>
    <w:rsid w:val="00E618E6"/>
    <w:rsid w:val="00E70FFC"/>
    <w:rsid w:val="00E82D92"/>
    <w:rsid w:val="00E9025A"/>
    <w:rsid w:val="00E92232"/>
    <w:rsid w:val="00E96592"/>
    <w:rsid w:val="00EB07BC"/>
    <w:rsid w:val="00EB283A"/>
    <w:rsid w:val="00EB5C7C"/>
    <w:rsid w:val="00ED140F"/>
    <w:rsid w:val="00EF1F8F"/>
    <w:rsid w:val="00EF2574"/>
    <w:rsid w:val="00EF2F2E"/>
    <w:rsid w:val="00EF3B34"/>
    <w:rsid w:val="00F01EAE"/>
    <w:rsid w:val="00F030A8"/>
    <w:rsid w:val="00F20835"/>
    <w:rsid w:val="00F2105C"/>
    <w:rsid w:val="00F21FB2"/>
    <w:rsid w:val="00F23FF7"/>
    <w:rsid w:val="00F3051C"/>
    <w:rsid w:val="00F31ED2"/>
    <w:rsid w:val="00F33F19"/>
    <w:rsid w:val="00F470D9"/>
    <w:rsid w:val="00F638FC"/>
    <w:rsid w:val="00F72422"/>
    <w:rsid w:val="00F76E0C"/>
    <w:rsid w:val="00F837D5"/>
    <w:rsid w:val="00F93664"/>
    <w:rsid w:val="00FB3916"/>
    <w:rsid w:val="00FB5B35"/>
    <w:rsid w:val="00FB653D"/>
    <w:rsid w:val="00FC6837"/>
    <w:rsid w:val="00FC78A9"/>
    <w:rsid w:val="00FD386E"/>
    <w:rsid w:val="00FD6D48"/>
    <w:rsid w:val="00FE456D"/>
    <w:rsid w:val="00FE4A48"/>
    <w:rsid w:val="00FF1196"/>
    <w:rsid w:val="00FF1CBC"/>
    <w:rsid w:val="00FF25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D9F56"/>
  <w15:chartTrackingRefBased/>
  <w15:docId w15:val="{9A55AB3B-CBC0-41C7-A846-4730D8F8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OC style,Table,Use Case List Paragraph,List Paragraph1,Heading2,Body Bullet,Table Number Paragraph,Colorful List - Accent 11,List Paragraph Char Char,lp1,Figure_name,Ref,Paragraph,numbered,Bullet List,FooterText,列出段落,列出段落1,B1,b1,b"/>
    <w:basedOn w:val="Normale"/>
    <w:link w:val="ParagrafoelencoCarattere"/>
    <w:uiPriority w:val="34"/>
    <w:qFormat/>
    <w:rsid w:val="00E50056"/>
    <w:pPr>
      <w:ind w:left="720"/>
      <w:contextualSpacing/>
    </w:pPr>
  </w:style>
  <w:style w:type="paragraph" w:styleId="NormaleWeb">
    <w:name w:val="Normal (Web)"/>
    <w:basedOn w:val="Normale"/>
    <w:uiPriority w:val="99"/>
    <w:semiHidden/>
    <w:unhideWhenUsed/>
    <w:rsid w:val="00312E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C4C1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C4C1F"/>
  </w:style>
  <w:style w:type="paragraph" w:styleId="Pidipagina">
    <w:name w:val="footer"/>
    <w:basedOn w:val="Normale"/>
    <w:link w:val="PidipaginaCarattere"/>
    <w:uiPriority w:val="99"/>
    <w:unhideWhenUsed/>
    <w:rsid w:val="00DC4C1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C4C1F"/>
  </w:style>
  <w:style w:type="character" w:customStyle="1" w:styleId="ParagrafoelencoCarattere">
    <w:name w:val="Paragrafo elenco Carattere"/>
    <w:aliases w:val="TOC style Carattere,Table Carattere,Use Case List Paragraph Carattere,List Paragraph1 Carattere,Heading2 Carattere,Body Bullet Carattere,Table Number Paragraph Carattere,Colorful List - Accent 11 Carattere,lp1 Carattere"/>
    <w:basedOn w:val="Carpredefinitoparagrafo"/>
    <w:link w:val="Paragrafoelenco"/>
    <w:uiPriority w:val="34"/>
    <w:locked/>
    <w:rsid w:val="0036360A"/>
  </w:style>
  <w:style w:type="paragraph" w:styleId="Revisione">
    <w:name w:val="Revision"/>
    <w:hidden/>
    <w:uiPriority w:val="99"/>
    <w:semiHidden/>
    <w:rsid w:val="009367E9"/>
    <w:pPr>
      <w:spacing w:line="240" w:lineRule="auto"/>
    </w:pPr>
  </w:style>
  <w:style w:type="character" w:styleId="Rimandocommento">
    <w:name w:val="annotation reference"/>
    <w:basedOn w:val="Carpredefinitoparagrafo"/>
    <w:uiPriority w:val="99"/>
    <w:semiHidden/>
    <w:unhideWhenUsed/>
    <w:rsid w:val="00270584"/>
    <w:rPr>
      <w:sz w:val="16"/>
      <w:szCs w:val="16"/>
    </w:rPr>
  </w:style>
  <w:style w:type="paragraph" w:styleId="Testocommento">
    <w:name w:val="annotation text"/>
    <w:basedOn w:val="Normale"/>
    <w:link w:val="TestocommentoCarattere"/>
    <w:uiPriority w:val="99"/>
    <w:semiHidden/>
    <w:unhideWhenUsed/>
    <w:rsid w:val="002705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0584"/>
    <w:rPr>
      <w:sz w:val="20"/>
      <w:szCs w:val="20"/>
    </w:rPr>
  </w:style>
  <w:style w:type="paragraph" w:styleId="Soggettocommento">
    <w:name w:val="annotation subject"/>
    <w:basedOn w:val="Testocommento"/>
    <w:next w:val="Testocommento"/>
    <w:link w:val="SoggettocommentoCarattere"/>
    <w:uiPriority w:val="99"/>
    <w:semiHidden/>
    <w:unhideWhenUsed/>
    <w:rsid w:val="00270584"/>
    <w:rPr>
      <w:b/>
      <w:bCs/>
    </w:rPr>
  </w:style>
  <w:style w:type="character" w:customStyle="1" w:styleId="SoggettocommentoCarattere">
    <w:name w:val="Soggetto commento Carattere"/>
    <w:basedOn w:val="TestocommentoCarattere"/>
    <w:link w:val="Soggettocommento"/>
    <w:uiPriority w:val="99"/>
    <w:semiHidden/>
    <w:rsid w:val="00270584"/>
    <w:rPr>
      <w:b/>
      <w:bCs/>
      <w:sz w:val="20"/>
      <w:szCs w:val="20"/>
    </w:rPr>
  </w:style>
  <w:style w:type="character" w:styleId="Collegamentoipertestuale">
    <w:name w:val="Hyperlink"/>
    <w:basedOn w:val="Carpredefinitoparagrafo"/>
    <w:uiPriority w:val="99"/>
    <w:unhideWhenUsed/>
    <w:rsid w:val="001B3034"/>
    <w:rPr>
      <w:color w:val="0563C1"/>
      <w:u w:val="single"/>
    </w:rPr>
  </w:style>
  <w:style w:type="character" w:styleId="Collegamentovisitato">
    <w:name w:val="FollowedHyperlink"/>
    <w:basedOn w:val="Carpredefinitoparagrafo"/>
    <w:uiPriority w:val="99"/>
    <w:semiHidden/>
    <w:unhideWhenUsed/>
    <w:rsid w:val="00A243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261">
      <w:bodyDiv w:val="1"/>
      <w:marLeft w:val="0"/>
      <w:marRight w:val="0"/>
      <w:marTop w:val="0"/>
      <w:marBottom w:val="0"/>
      <w:divBdr>
        <w:top w:val="none" w:sz="0" w:space="0" w:color="auto"/>
        <w:left w:val="none" w:sz="0" w:space="0" w:color="auto"/>
        <w:bottom w:val="none" w:sz="0" w:space="0" w:color="auto"/>
        <w:right w:val="none" w:sz="0" w:space="0" w:color="auto"/>
      </w:divBdr>
    </w:div>
    <w:div w:id="141629529">
      <w:bodyDiv w:val="1"/>
      <w:marLeft w:val="0"/>
      <w:marRight w:val="0"/>
      <w:marTop w:val="0"/>
      <w:marBottom w:val="0"/>
      <w:divBdr>
        <w:top w:val="none" w:sz="0" w:space="0" w:color="auto"/>
        <w:left w:val="none" w:sz="0" w:space="0" w:color="auto"/>
        <w:bottom w:val="none" w:sz="0" w:space="0" w:color="auto"/>
        <w:right w:val="none" w:sz="0" w:space="0" w:color="auto"/>
      </w:divBdr>
    </w:div>
    <w:div w:id="225724289">
      <w:bodyDiv w:val="1"/>
      <w:marLeft w:val="0"/>
      <w:marRight w:val="0"/>
      <w:marTop w:val="0"/>
      <w:marBottom w:val="0"/>
      <w:divBdr>
        <w:top w:val="none" w:sz="0" w:space="0" w:color="auto"/>
        <w:left w:val="none" w:sz="0" w:space="0" w:color="auto"/>
        <w:bottom w:val="none" w:sz="0" w:space="0" w:color="auto"/>
        <w:right w:val="none" w:sz="0" w:space="0" w:color="auto"/>
      </w:divBdr>
    </w:div>
    <w:div w:id="399720244">
      <w:bodyDiv w:val="1"/>
      <w:marLeft w:val="0"/>
      <w:marRight w:val="0"/>
      <w:marTop w:val="0"/>
      <w:marBottom w:val="0"/>
      <w:divBdr>
        <w:top w:val="none" w:sz="0" w:space="0" w:color="auto"/>
        <w:left w:val="none" w:sz="0" w:space="0" w:color="auto"/>
        <w:bottom w:val="none" w:sz="0" w:space="0" w:color="auto"/>
        <w:right w:val="none" w:sz="0" w:space="0" w:color="auto"/>
      </w:divBdr>
    </w:div>
    <w:div w:id="536940779">
      <w:bodyDiv w:val="1"/>
      <w:marLeft w:val="0"/>
      <w:marRight w:val="0"/>
      <w:marTop w:val="0"/>
      <w:marBottom w:val="0"/>
      <w:divBdr>
        <w:top w:val="none" w:sz="0" w:space="0" w:color="auto"/>
        <w:left w:val="none" w:sz="0" w:space="0" w:color="auto"/>
        <w:bottom w:val="none" w:sz="0" w:space="0" w:color="auto"/>
        <w:right w:val="none" w:sz="0" w:space="0" w:color="auto"/>
      </w:divBdr>
      <w:divsChild>
        <w:div w:id="2114006730">
          <w:marLeft w:val="274"/>
          <w:marRight w:val="0"/>
          <w:marTop w:val="0"/>
          <w:marBottom w:val="240"/>
          <w:divBdr>
            <w:top w:val="none" w:sz="0" w:space="0" w:color="auto"/>
            <w:left w:val="none" w:sz="0" w:space="0" w:color="auto"/>
            <w:bottom w:val="none" w:sz="0" w:space="0" w:color="auto"/>
            <w:right w:val="none" w:sz="0" w:space="0" w:color="auto"/>
          </w:divBdr>
        </w:div>
        <w:div w:id="1902325291">
          <w:marLeft w:val="274"/>
          <w:marRight w:val="0"/>
          <w:marTop w:val="0"/>
          <w:marBottom w:val="240"/>
          <w:divBdr>
            <w:top w:val="none" w:sz="0" w:space="0" w:color="auto"/>
            <w:left w:val="none" w:sz="0" w:space="0" w:color="auto"/>
            <w:bottom w:val="none" w:sz="0" w:space="0" w:color="auto"/>
            <w:right w:val="none" w:sz="0" w:space="0" w:color="auto"/>
          </w:divBdr>
        </w:div>
        <w:div w:id="325401617">
          <w:marLeft w:val="274"/>
          <w:marRight w:val="0"/>
          <w:marTop w:val="0"/>
          <w:marBottom w:val="240"/>
          <w:divBdr>
            <w:top w:val="none" w:sz="0" w:space="0" w:color="auto"/>
            <w:left w:val="none" w:sz="0" w:space="0" w:color="auto"/>
            <w:bottom w:val="none" w:sz="0" w:space="0" w:color="auto"/>
            <w:right w:val="none" w:sz="0" w:space="0" w:color="auto"/>
          </w:divBdr>
        </w:div>
        <w:div w:id="45489338">
          <w:marLeft w:val="274"/>
          <w:marRight w:val="0"/>
          <w:marTop w:val="0"/>
          <w:marBottom w:val="240"/>
          <w:divBdr>
            <w:top w:val="none" w:sz="0" w:space="0" w:color="auto"/>
            <w:left w:val="none" w:sz="0" w:space="0" w:color="auto"/>
            <w:bottom w:val="none" w:sz="0" w:space="0" w:color="auto"/>
            <w:right w:val="none" w:sz="0" w:space="0" w:color="auto"/>
          </w:divBdr>
        </w:div>
      </w:divsChild>
    </w:div>
    <w:div w:id="624235255">
      <w:bodyDiv w:val="1"/>
      <w:marLeft w:val="0"/>
      <w:marRight w:val="0"/>
      <w:marTop w:val="0"/>
      <w:marBottom w:val="0"/>
      <w:divBdr>
        <w:top w:val="none" w:sz="0" w:space="0" w:color="auto"/>
        <w:left w:val="none" w:sz="0" w:space="0" w:color="auto"/>
        <w:bottom w:val="none" w:sz="0" w:space="0" w:color="auto"/>
        <w:right w:val="none" w:sz="0" w:space="0" w:color="auto"/>
      </w:divBdr>
      <w:divsChild>
        <w:div w:id="477575220">
          <w:marLeft w:val="274"/>
          <w:marRight w:val="0"/>
          <w:marTop w:val="0"/>
          <w:marBottom w:val="360"/>
          <w:divBdr>
            <w:top w:val="none" w:sz="0" w:space="0" w:color="auto"/>
            <w:left w:val="none" w:sz="0" w:space="0" w:color="auto"/>
            <w:bottom w:val="none" w:sz="0" w:space="0" w:color="auto"/>
            <w:right w:val="none" w:sz="0" w:space="0" w:color="auto"/>
          </w:divBdr>
        </w:div>
        <w:div w:id="576675822">
          <w:marLeft w:val="274"/>
          <w:marRight w:val="0"/>
          <w:marTop w:val="0"/>
          <w:marBottom w:val="360"/>
          <w:divBdr>
            <w:top w:val="none" w:sz="0" w:space="0" w:color="auto"/>
            <w:left w:val="none" w:sz="0" w:space="0" w:color="auto"/>
            <w:bottom w:val="none" w:sz="0" w:space="0" w:color="auto"/>
            <w:right w:val="none" w:sz="0" w:space="0" w:color="auto"/>
          </w:divBdr>
        </w:div>
        <w:div w:id="2133355946">
          <w:marLeft w:val="274"/>
          <w:marRight w:val="0"/>
          <w:marTop w:val="0"/>
          <w:marBottom w:val="360"/>
          <w:divBdr>
            <w:top w:val="none" w:sz="0" w:space="0" w:color="auto"/>
            <w:left w:val="none" w:sz="0" w:space="0" w:color="auto"/>
            <w:bottom w:val="none" w:sz="0" w:space="0" w:color="auto"/>
            <w:right w:val="none" w:sz="0" w:space="0" w:color="auto"/>
          </w:divBdr>
        </w:div>
        <w:div w:id="1946839739">
          <w:marLeft w:val="274"/>
          <w:marRight w:val="0"/>
          <w:marTop w:val="0"/>
          <w:marBottom w:val="360"/>
          <w:divBdr>
            <w:top w:val="none" w:sz="0" w:space="0" w:color="auto"/>
            <w:left w:val="none" w:sz="0" w:space="0" w:color="auto"/>
            <w:bottom w:val="none" w:sz="0" w:space="0" w:color="auto"/>
            <w:right w:val="none" w:sz="0" w:space="0" w:color="auto"/>
          </w:divBdr>
        </w:div>
      </w:divsChild>
    </w:div>
    <w:div w:id="643778498">
      <w:bodyDiv w:val="1"/>
      <w:marLeft w:val="0"/>
      <w:marRight w:val="0"/>
      <w:marTop w:val="0"/>
      <w:marBottom w:val="0"/>
      <w:divBdr>
        <w:top w:val="none" w:sz="0" w:space="0" w:color="auto"/>
        <w:left w:val="none" w:sz="0" w:space="0" w:color="auto"/>
        <w:bottom w:val="none" w:sz="0" w:space="0" w:color="auto"/>
        <w:right w:val="none" w:sz="0" w:space="0" w:color="auto"/>
      </w:divBdr>
    </w:div>
    <w:div w:id="707683365">
      <w:bodyDiv w:val="1"/>
      <w:marLeft w:val="0"/>
      <w:marRight w:val="0"/>
      <w:marTop w:val="0"/>
      <w:marBottom w:val="0"/>
      <w:divBdr>
        <w:top w:val="none" w:sz="0" w:space="0" w:color="auto"/>
        <w:left w:val="none" w:sz="0" w:space="0" w:color="auto"/>
        <w:bottom w:val="none" w:sz="0" w:space="0" w:color="auto"/>
        <w:right w:val="none" w:sz="0" w:space="0" w:color="auto"/>
      </w:divBdr>
      <w:divsChild>
        <w:div w:id="1645893591">
          <w:marLeft w:val="274"/>
          <w:marRight w:val="0"/>
          <w:marTop w:val="0"/>
          <w:marBottom w:val="0"/>
          <w:divBdr>
            <w:top w:val="none" w:sz="0" w:space="0" w:color="auto"/>
            <w:left w:val="none" w:sz="0" w:space="0" w:color="auto"/>
            <w:bottom w:val="none" w:sz="0" w:space="0" w:color="auto"/>
            <w:right w:val="none" w:sz="0" w:space="0" w:color="auto"/>
          </w:divBdr>
        </w:div>
        <w:div w:id="522206381">
          <w:marLeft w:val="274"/>
          <w:marRight w:val="0"/>
          <w:marTop w:val="0"/>
          <w:marBottom w:val="0"/>
          <w:divBdr>
            <w:top w:val="none" w:sz="0" w:space="0" w:color="auto"/>
            <w:left w:val="none" w:sz="0" w:space="0" w:color="auto"/>
            <w:bottom w:val="none" w:sz="0" w:space="0" w:color="auto"/>
            <w:right w:val="none" w:sz="0" w:space="0" w:color="auto"/>
          </w:divBdr>
        </w:div>
        <w:div w:id="1271352633">
          <w:marLeft w:val="274"/>
          <w:marRight w:val="0"/>
          <w:marTop w:val="0"/>
          <w:marBottom w:val="0"/>
          <w:divBdr>
            <w:top w:val="none" w:sz="0" w:space="0" w:color="auto"/>
            <w:left w:val="none" w:sz="0" w:space="0" w:color="auto"/>
            <w:bottom w:val="none" w:sz="0" w:space="0" w:color="auto"/>
            <w:right w:val="none" w:sz="0" w:space="0" w:color="auto"/>
          </w:divBdr>
        </w:div>
      </w:divsChild>
    </w:div>
    <w:div w:id="726684824">
      <w:bodyDiv w:val="1"/>
      <w:marLeft w:val="0"/>
      <w:marRight w:val="0"/>
      <w:marTop w:val="0"/>
      <w:marBottom w:val="0"/>
      <w:divBdr>
        <w:top w:val="none" w:sz="0" w:space="0" w:color="auto"/>
        <w:left w:val="none" w:sz="0" w:space="0" w:color="auto"/>
        <w:bottom w:val="none" w:sz="0" w:space="0" w:color="auto"/>
        <w:right w:val="none" w:sz="0" w:space="0" w:color="auto"/>
      </w:divBdr>
    </w:div>
    <w:div w:id="897931961">
      <w:bodyDiv w:val="1"/>
      <w:marLeft w:val="0"/>
      <w:marRight w:val="0"/>
      <w:marTop w:val="0"/>
      <w:marBottom w:val="0"/>
      <w:divBdr>
        <w:top w:val="none" w:sz="0" w:space="0" w:color="auto"/>
        <w:left w:val="none" w:sz="0" w:space="0" w:color="auto"/>
        <w:bottom w:val="none" w:sz="0" w:space="0" w:color="auto"/>
        <w:right w:val="none" w:sz="0" w:space="0" w:color="auto"/>
      </w:divBdr>
    </w:div>
    <w:div w:id="920262444">
      <w:bodyDiv w:val="1"/>
      <w:marLeft w:val="0"/>
      <w:marRight w:val="0"/>
      <w:marTop w:val="0"/>
      <w:marBottom w:val="0"/>
      <w:divBdr>
        <w:top w:val="none" w:sz="0" w:space="0" w:color="auto"/>
        <w:left w:val="none" w:sz="0" w:space="0" w:color="auto"/>
        <w:bottom w:val="none" w:sz="0" w:space="0" w:color="auto"/>
        <w:right w:val="none" w:sz="0" w:space="0" w:color="auto"/>
      </w:divBdr>
    </w:div>
    <w:div w:id="1018694889">
      <w:bodyDiv w:val="1"/>
      <w:marLeft w:val="0"/>
      <w:marRight w:val="0"/>
      <w:marTop w:val="0"/>
      <w:marBottom w:val="0"/>
      <w:divBdr>
        <w:top w:val="none" w:sz="0" w:space="0" w:color="auto"/>
        <w:left w:val="none" w:sz="0" w:space="0" w:color="auto"/>
        <w:bottom w:val="none" w:sz="0" w:space="0" w:color="auto"/>
        <w:right w:val="none" w:sz="0" w:space="0" w:color="auto"/>
      </w:divBdr>
    </w:div>
    <w:div w:id="1254165537">
      <w:bodyDiv w:val="1"/>
      <w:marLeft w:val="0"/>
      <w:marRight w:val="0"/>
      <w:marTop w:val="0"/>
      <w:marBottom w:val="0"/>
      <w:divBdr>
        <w:top w:val="none" w:sz="0" w:space="0" w:color="auto"/>
        <w:left w:val="none" w:sz="0" w:space="0" w:color="auto"/>
        <w:bottom w:val="none" w:sz="0" w:space="0" w:color="auto"/>
        <w:right w:val="none" w:sz="0" w:space="0" w:color="auto"/>
      </w:divBdr>
    </w:div>
    <w:div w:id="1334258088">
      <w:bodyDiv w:val="1"/>
      <w:marLeft w:val="0"/>
      <w:marRight w:val="0"/>
      <w:marTop w:val="0"/>
      <w:marBottom w:val="0"/>
      <w:divBdr>
        <w:top w:val="none" w:sz="0" w:space="0" w:color="auto"/>
        <w:left w:val="none" w:sz="0" w:space="0" w:color="auto"/>
        <w:bottom w:val="none" w:sz="0" w:space="0" w:color="auto"/>
        <w:right w:val="none" w:sz="0" w:space="0" w:color="auto"/>
      </w:divBdr>
    </w:div>
    <w:div w:id="1357462245">
      <w:bodyDiv w:val="1"/>
      <w:marLeft w:val="0"/>
      <w:marRight w:val="0"/>
      <w:marTop w:val="0"/>
      <w:marBottom w:val="0"/>
      <w:divBdr>
        <w:top w:val="none" w:sz="0" w:space="0" w:color="auto"/>
        <w:left w:val="none" w:sz="0" w:space="0" w:color="auto"/>
        <w:bottom w:val="none" w:sz="0" w:space="0" w:color="auto"/>
        <w:right w:val="none" w:sz="0" w:space="0" w:color="auto"/>
      </w:divBdr>
      <w:divsChild>
        <w:div w:id="1590306326">
          <w:marLeft w:val="274"/>
          <w:marRight w:val="0"/>
          <w:marTop w:val="0"/>
          <w:marBottom w:val="360"/>
          <w:divBdr>
            <w:top w:val="none" w:sz="0" w:space="0" w:color="auto"/>
            <w:left w:val="none" w:sz="0" w:space="0" w:color="auto"/>
            <w:bottom w:val="none" w:sz="0" w:space="0" w:color="auto"/>
            <w:right w:val="none" w:sz="0" w:space="0" w:color="auto"/>
          </w:divBdr>
        </w:div>
        <w:div w:id="978534540">
          <w:marLeft w:val="274"/>
          <w:marRight w:val="0"/>
          <w:marTop w:val="0"/>
          <w:marBottom w:val="360"/>
          <w:divBdr>
            <w:top w:val="none" w:sz="0" w:space="0" w:color="auto"/>
            <w:left w:val="none" w:sz="0" w:space="0" w:color="auto"/>
            <w:bottom w:val="none" w:sz="0" w:space="0" w:color="auto"/>
            <w:right w:val="none" w:sz="0" w:space="0" w:color="auto"/>
          </w:divBdr>
        </w:div>
        <w:div w:id="1383752045">
          <w:marLeft w:val="274"/>
          <w:marRight w:val="0"/>
          <w:marTop w:val="0"/>
          <w:marBottom w:val="360"/>
          <w:divBdr>
            <w:top w:val="none" w:sz="0" w:space="0" w:color="auto"/>
            <w:left w:val="none" w:sz="0" w:space="0" w:color="auto"/>
            <w:bottom w:val="none" w:sz="0" w:space="0" w:color="auto"/>
            <w:right w:val="none" w:sz="0" w:space="0" w:color="auto"/>
          </w:divBdr>
        </w:div>
        <w:div w:id="1695882294">
          <w:marLeft w:val="274"/>
          <w:marRight w:val="0"/>
          <w:marTop w:val="0"/>
          <w:marBottom w:val="360"/>
          <w:divBdr>
            <w:top w:val="none" w:sz="0" w:space="0" w:color="auto"/>
            <w:left w:val="none" w:sz="0" w:space="0" w:color="auto"/>
            <w:bottom w:val="none" w:sz="0" w:space="0" w:color="auto"/>
            <w:right w:val="none" w:sz="0" w:space="0" w:color="auto"/>
          </w:divBdr>
        </w:div>
      </w:divsChild>
    </w:div>
    <w:div w:id="1413510180">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sChild>
        <w:div w:id="1486509218">
          <w:marLeft w:val="288"/>
          <w:marRight w:val="0"/>
          <w:marTop w:val="120"/>
          <w:marBottom w:val="0"/>
          <w:divBdr>
            <w:top w:val="none" w:sz="0" w:space="0" w:color="auto"/>
            <w:left w:val="none" w:sz="0" w:space="0" w:color="auto"/>
            <w:bottom w:val="none" w:sz="0" w:space="0" w:color="auto"/>
            <w:right w:val="none" w:sz="0" w:space="0" w:color="auto"/>
          </w:divBdr>
        </w:div>
        <w:div w:id="2021545662">
          <w:marLeft w:val="288"/>
          <w:marRight w:val="0"/>
          <w:marTop w:val="120"/>
          <w:marBottom w:val="0"/>
          <w:divBdr>
            <w:top w:val="none" w:sz="0" w:space="0" w:color="auto"/>
            <w:left w:val="none" w:sz="0" w:space="0" w:color="auto"/>
            <w:bottom w:val="none" w:sz="0" w:space="0" w:color="auto"/>
            <w:right w:val="none" w:sz="0" w:space="0" w:color="auto"/>
          </w:divBdr>
        </w:div>
      </w:divsChild>
    </w:div>
    <w:div w:id="1794441292">
      <w:bodyDiv w:val="1"/>
      <w:marLeft w:val="0"/>
      <w:marRight w:val="0"/>
      <w:marTop w:val="0"/>
      <w:marBottom w:val="0"/>
      <w:divBdr>
        <w:top w:val="none" w:sz="0" w:space="0" w:color="auto"/>
        <w:left w:val="none" w:sz="0" w:space="0" w:color="auto"/>
        <w:bottom w:val="none" w:sz="0" w:space="0" w:color="auto"/>
        <w:right w:val="none" w:sz="0" w:space="0" w:color="auto"/>
      </w:divBdr>
    </w:div>
    <w:div w:id="1814444290">
      <w:bodyDiv w:val="1"/>
      <w:marLeft w:val="0"/>
      <w:marRight w:val="0"/>
      <w:marTop w:val="0"/>
      <w:marBottom w:val="0"/>
      <w:divBdr>
        <w:top w:val="none" w:sz="0" w:space="0" w:color="auto"/>
        <w:left w:val="none" w:sz="0" w:space="0" w:color="auto"/>
        <w:bottom w:val="none" w:sz="0" w:space="0" w:color="auto"/>
        <w:right w:val="none" w:sz="0" w:space="0" w:color="auto"/>
      </w:divBdr>
    </w:div>
    <w:div w:id="1935745180">
      <w:bodyDiv w:val="1"/>
      <w:marLeft w:val="0"/>
      <w:marRight w:val="0"/>
      <w:marTop w:val="0"/>
      <w:marBottom w:val="0"/>
      <w:divBdr>
        <w:top w:val="none" w:sz="0" w:space="0" w:color="auto"/>
        <w:left w:val="none" w:sz="0" w:space="0" w:color="auto"/>
        <w:bottom w:val="none" w:sz="0" w:space="0" w:color="auto"/>
        <w:right w:val="none" w:sz="0" w:space="0" w:color="auto"/>
      </w:divBdr>
    </w:div>
    <w:div w:id="1987468914">
      <w:bodyDiv w:val="1"/>
      <w:marLeft w:val="0"/>
      <w:marRight w:val="0"/>
      <w:marTop w:val="0"/>
      <w:marBottom w:val="0"/>
      <w:divBdr>
        <w:top w:val="none" w:sz="0" w:space="0" w:color="auto"/>
        <w:left w:val="none" w:sz="0" w:space="0" w:color="auto"/>
        <w:bottom w:val="none" w:sz="0" w:space="0" w:color="auto"/>
        <w:right w:val="none" w:sz="0" w:space="0" w:color="auto"/>
      </w:divBdr>
    </w:div>
    <w:div w:id="2129155483">
      <w:bodyDiv w:val="1"/>
      <w:marLeft w:val="0"/>
      <w:marRight w:val="0"/>
      <w:marTop w:val="0"/>
      <w:marBottom w:val="0"/>
      <w:divBdr>
        <w:top w:val="none" w:sz="0" w:space="0" w:color="auto"/>
        <w:left w:val="none" w:sz="0" w:space="0" w:color="auto"/>
        <w:bottom w:val="none" w:sz="0" w:space="0" w:color="auto"/>
        <w:right w:val="none" w:sz="0" w:space="0" w:color="auto"/>
      </w:divBdr>
      <w:divsChild>
        <w:div w:id="280456902">
          <w:marLeft w:val="274"/>
          <w:marRight w:val="0"/>
          <w:marTop w:val="0"/>
          <w:marBottom w:val="0"/>
          <w:divBdr>
            <w:top w:val="none" w:sz="0" w:space="0" w:color="auto"/>
            <w:left w:val="none" w:sz="0" w:space="0" w:color="auto"/>
            <w:bottom w:val="none" w:sz="0" w:space="0" w:color="auto"/>
            <w:right w:val="none" w:sz="0" w:space="0" w:color="auto"/>
          </w:divBdr>
        </w:div>
        <w:div w:id="10627515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nture.stampa@accentur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8E0A6B5EFFAD7418196186E89744B88" ma:contentTypeVersion="4" ma:contentTypeDescription="Creare un nuovo documento." ma:contentTypeScope="" ma:versionID="6159dfcd4c2775dcb5ad036fda8c76c2">
  <xsd:schema xmlns:xsd="http://www.w3.org/2001/XMLSchema" xmlns:xs="http://www.w3.org/2001/XMLSchema" xmlns:p="http://schemas.microsoft.com/office/2006/metadata/properties" xmlns:ns2="3a7f0f47-0d8c-4b3c-9569-4ada148f9601" xmlns:ns3="cf1ecf93-b988-4b43-9959-1fb19eaceb9d" targetNamespace="http://schemas.microsoft.com/office/2006/metadata/properties" ma:root="true" ma:fieldsID="f611c68867b03c4816cd222a3819474a" ns2:_="" ns3:_="">
    <xsd:import namespace="3a7f0f47-0d8c-4b3c-9569-4ada148f9601"/>
    <xsd:import namespace="cf1ecf93-b988-4b43-9959-1fb19eace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f0f47-0d8c-4b3c-9569-4ada148f9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ecf93-b988-4b43-9959-1fb19eaceb9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358B3-A66E-4BFA-BB43-B5233CDFE403}">
  <ds:schemaRefs>
    <ds:schemaRef ds:uri="http://schemas.openxmlformats.org/officeDocument/2006/bibliography"/>
  </ds:schemaRefs>
</ds:datastoreItem>
</file>

<file path=customXml/itemProps2.xml><?xml version="1.0" encoding="utf-8"?>
<ds:datastoreItem xmlns:ds="http://schemas.openxmlformats.org/officeDocument/2006/customXml" ds:itemID="{4A6743A4-4311-4C08-852C-25A3713A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f0f47-0d8c-4b3c-9569-4ada148f9601"/>
    <ds:schemaRef ds:uri="cf1ecf93-b988-4b43-9959-1fb19eace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84845-524E-421A-86D7-2B9D3711B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80C8B-EE04-44B1-8317-CAC5EB32738B}">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58</TotalTime>
  <Pages>6</Pages>
  <Words>2112</Words>
  <Characters>12041</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Garbelli</dc:creator>
  <cp:keywords/>
  <dc:description/>
  <cp:lastModifiedBy>Fausto Fiorin</cp:lastModifiedBy>
  <cp:revision>8</cp:revision>
  <dcterms:created xsi:type="dcterms:W3CDTF">2023-05-03T14:19:00Z</dcterms:created>
  <dcterms:modified xsi:type="dcterms:W3CDTF">2023-05-04T09:33:00Z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0x010100D8E0A6B5EFFAD7418196186E89744B88</vt:lpwstr>
  </property>
</Properties>
</file>