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ectPr>
          <w:type w:val="nextPage"/>
          <w:pgSz w:w="11906" w:h="16838"/>
          <w:pgMar w:left="0" w:right="0" w:gutter="0" w:header="0" w:top="0" w:footer="0" w:bottom="0"/>
          <w:pgNumType w:fmt="decimal"/>
          <w:formProt w:val="false"/>
          <w:textDirection w:val="lrTb"/>
          <w:docGrid w:type="default" w:linePitch="100" w:charSpace="0"/>
        </w:sectPr>
      </w:pPr>
      <w:r>
        <w:rPr/>
        <w:drawing>
          <wp:inline distT="0" distB="0" distL="0" distR="0">
            <wp:extent cx="7559040" cy="10692765"/>
            <wp:effectExtent l="0" t="0" r="0" b="0"/>
            <wp:docPr id="1" nam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
                    <pic:cNvPicPr>
                      <a:picLocks noChangeAspect="1" noChangeArrowheads="1"/>
                    </pic:cNvPicPr>
                  </pic:nvPicPr>
                  <pic:blipFill>
                    <a:blip r:embed="rId2"/>
                    <a:stretch>
                      <a:fillRect/>
                    </a:stretch>
                  </pic:blipFill>
                  <pic:spPr bwMode="auto">
                    <a:xfrm>
                      <a:off x="0" y="0"/>
                      <a:ext cx="7559040" cy="10692765"/>
                    </a:xfrm>
                    <a:prstGeom prst="rect">
                      <a:avLst/>
                    </a:prstGeom>
                    <a:noFill/>
                  </pic:spPr>
                </pic:pic>
              </a:graphicData>
            </a:graphic>
          </wp:inline>
        </w:drawing>
      </w:r>
    </w:p>
    <w:p>
      <w:pPr>
        <w:pStyle w:val="Normal"/>
        <w:pBdr>
          <w:bottom w:val="single" w:sz="8" w:space="4" w:color="C8A84B"/>
        </w:pBdr>
        <w:spacing w:before="320" w:after="160"/>
        <w:rPr/>
      </w:pPr>
      <w:r>
        <w:rPr>
          <w:rFonts w:eastAsia="Arial" w:cs="Arial" w:ascii="Arial" w:hAnsi="Arial"/>
          <w:b/>
          <w:bCs/>
          <w:color w:val="1A2744"/>
          <w:sz w:val="32"/>
          <w:szCs w:val="32"/>
        </w:rPr>
        <w:t>1.  Cos'è IESO</w:t>
      </w:r>
    </w:p>
    <w:p>
      <w:pPr>
        <w:pStyle w:val="Normal"/>
        <w:spacing w:before="0" w:after="80"/>
        <w:rPr/>
      </w:pPr>
      <w:r>
        <w:rPr/>
      </w:r>
    </w:p>
    <w:p>
      <w:pPr>
        <w:pStyle w:val="Normal"/>
        <w:spacing w:before="0" w:after="120"/>
        <w:jc w:val="both"/>
        <w:rPr/>
      </w:pPr>
      <w:r>
        <w:rPr>
          <w:rFonts w:eastAsia="Arial" w:cs="Arial" w:ascii="Arial" w:hAnsi="Arial"/>
          <w:sz w:val="20"/>
          <w:szCs w:val="20"/>
        </w:rPr>
        <w:t>L’International Earth Science Olympiad (IESO) è la competizione scientifica internazionale dedicata agli studenti delle scuole secondarie appassionati di scienze della Terra. Si svolge annualmente in un paese diverso e riunisce delegazioni da tutto il mondo, ciascuna composta da quattro studenti e due mentori. Gli studenti non devono aver compiuto 18 anni entro il 1° luglio dell’anno della gara.</w:t>
      </w:r>
    </w:p>
    <w:p>
      <w:pPr>
        <w:pStyle w:val="Normal"/>
        <w:spacing w:before="0" w:after="120"/>
        <w:jc w:val="both"/>
        <w:rPr/>
      </w:pPr>
      <w:r>
        <w:rPr>
          <w:rFonts w:eastAsia="Arial" w:cs="Arial" w:ascii="Arial" w:hAnsi="Arial"/>
          <w:sz w:val="20"/>
          <w:szCs w:val="20"/>
        </w:rPr>
        <w:t>L’olimpiade è organizzata sotto l’egida dell’International Geoscience Education Organisation (IGEO) e rappresenta il principale appuntamento mondiale per la formazione scientifica d’eccellenza nelle scienze della Terra a livello preuniversitario. A differenza di altre olimpiadi scientifiche internazionali, IESO include due prove esclusive sul campo in cui studenti di nazionalità diverse lavorano insieme.</w:t>
      </w:r>
    </w:p>
    <w:p>
      <w:pPr>
        <w:pStyle w:val="Normal"/>
        <w:spacing w:before="0" w:after="80"/>
        <w:rPr/>
      </w:pPr>
      <w:r>
        <w:rPr/>
      </w:r>
    </w:p>
    <w:p>
      <w:pPr>
        <w:pStyle w:val="Normal"/>
        <w:spacing w:before="240" w:after="100"/>
        <w:rPr/>
      </w:pPr>
      <w:r>
        <w:rPr>
          <w:rFonts w:eastAsia="Arial" w:cs="Arial" w:ascii="Arial" w:hAnsi="Arial"/>
          <w:b/>
          <w:bCs/>
          <w:color w:val="1A2744"/>
        </w:rPr>
        <w:t>Le prove</w:t>
      </w:r>
    </w:p>
    <w:p>
      <w:pPr>
        <w:pStyle w:val="Normal"/>
        <w:spacing w:before="0" w:after="120"/>
        <w:jc w:val="both"/>
        <w:rPr/>
      </w:pPr>
      <w:r>
        <w:rPr>
          <w:rFonts w:eastAsia="Arial" w:cs="Arial" w:ascii="Arial" w:hAnsi="Arial"/>
          <w:sz w:val="20"/>
          <w:szCs w:val="20"/>
        </w:rPr>
        <w:t>Le prove scritte teoriche verificano la padronanza delle principali discipline delle geoscienze: geologia, geofisica, meteorologia, oceanografia, astronomia terrestre</w:t>
      </w:r>
      <w:r>
        <w:rPr/>
        <w:t>, paleontologia e</w:t>
      </w:r>
      <w:r>
        <w:rPr>
          <w:rFonts w:eastAsia="Arial" w:cs="Arial" w:ascii="Arial" w:hAnsi="Arial"/>
          <w:sz w:val="20"/>
          <w:szCs w:val="20"/>
        </w:rPr>
        <w:t xml:space="preserve"> scienze ambientali. </w:t>
      </w:r>
    </w:p>
    <w:p>
      <w:pPr>
        <w:pStyle w:val="Normal"/>
        <w:spacing w:before="0" w:after="120"/>
        <w:jc w:val="both"/>
        <w:rPr/>
      </w:pPr>
      <w:r>
        <w:rPr>
          <w:rFonts w:eastAsia="Arial" w:cs="Arial" w:ascii="Arial" w:hAnsi="Arial"/>
          <w:sz w:val="20"/>
          <w:szCs w:val="20"/>
        </w:rPr>
        <w:t>Le prove pratiche di laboratorio richiedono l’applicazione diretta di competenze sperimentali</w:t>
      </w:r>
      <w:r>
        <w:rPr>
          <w:rFonts w:eastAsia="Arial" w:cs="Arial" w:ascii="Arial" w:hAnsi="Arial"/>
          <w:sz w:val="18"/>
          <w:szCs w:val="18"/>
        </w:rPr>
        <w:t xml:space="preserve">, </w:t>
      </w:r>
      <w:r>
        <w:rPr>
          <w:rFonts w:eastAsia="Arial" w:cs="Arial" w:ascii="Arial" w:hAnsi="Arial"/>
          <w:sz w:val="20"/>
          <w:szCs w:val="20"/>
        </w:rPr>
        <w:t xml:space="preserve"> di analisi</w:t>
      </w:r>
      <w:r>
        <w:rPr/>
        <w:t>,  di investigazione e di problem solving.</w:t>
      </w:r>
    </w:p>
    <w:p>
      <w:pPr>
        <w:pStyle w:val="Normal"/>
        <w:spacing w:before="0" w:after="120"/>
        <w:jc w:val="both"/>
        <w:rPr/>
      </w:pPr>
      <w:r>
        <w:rPr>
          <w:rFonts w:eastAsia="Arial" w:cs="Arial" w:ascii="Arial" w:hAnsi="Arial"/>
          <w:sz w:val="20"/>
          <w:szCs w:val="20"/>
        </w:rPr>
        <w:t>L’</w:t>
      </w:r>
      <w:r>
        <w:rPr>
          <w:rFonts w:eastAsia="Arial" w:cs="Arial" w:ascii="Arial" w:hAnsi="Arial"/>
          <w:b/>
          <w:bCs/>
          <w:sz w:val="20"/>
          <w:szCs w:val="20"/>
        </w:rPr>
        <w:t>International Team Field Investigation (ITFI)</w:t>
      </w:r>
      <w:r>
        <w:rPr>
          <w:rFonts w:eastAsia="Arial" w:cs="Arial" w:ascii="Arial" w:hAnsi="Arial"/>
          <w:sz w:val="20"/>
          <w:szCs w:val="20"/>
        </w:rPr>
        <w:t xml:space="preserve"> è la prima prova esclusiva sul campo: team internazionali misti leggono e interpretano il territorio geologico del paese ospitante, </w:t>
      </w:r>
      <w:r>
        <w:rPr/>
        <w:t>sulla base di quesiti mirati che promuovono l’investigazione favor</w:t>
      </w:r>
      <w:r>
        <w:rPr>
          <w:rFonts w:eastAsia="Arial" w:cs="Arial" w:ascii="Arial" w:hAnsi="Arial"/>
          <w:sz w:val="20"/>
          <w:szCs w:val="20"/>
        </w:rPr>
        <w:t>endo cooperazione tra giovani di culture differenti.</w:t>
      </w:r>
    </w:p>
    <w:p>
      <w:pPr>
        <w:pStyle w:val="Normal"/>
        <w:spacing w:before="0" w:after="120"/>
        <w:jc w:val="both"/>
        <w:rPr/>
      </w:pPr>
      <w:r>
        <w:rPr>
          <w:rFonts w:eastAsia="Arial" w:cs="Arial" w:ascii="Arial" w:hAnsi="Arial"/>
          <w:sz w:val="20"/>
          <w:szCs w:val="20"/>
        </w:rPr>
        <w:t>L’</w:t>
      </w:r>
      <w:r>
        <w:rPr>
          <w:rFonts w:eastAsia="Arial" w:cs="Arial" w:ascii="Arial" w:hAnsi="Arial"/>
          <w:b/>
          <w:bCs/>
          <w:sz w:val="20"/>
          <w:szCs w:val="20"/>
        </w:rPr>
        <w:t>Earth Science Project (ESP)</w:t>
      </w:r>
      <w:r>
        <w:rPr>
          <w:rFonts w:eastAsia="Arial" w:cs="Arial" w:ascii="Arial" w:hAnsi="Arial"/>
          <w:sz w:val="20"/>
          <w:szCs w:val="20"/>
        </w:rPr>
        <w:t xml:space="preserve"> è la seconda prova esclusiva sul campo: i team elaborano un progetto scientifico originale basato su osservazione diretta del territorio, </w:t>
      </w:r>
      <w:r>
        <w:rPr/>
        <w:t xml:space="preserve">che affronta le interazione tra i diversi Sistemi terrestri, </w:t>
      </w:r>
      <w:r>
        <w:rPr>
          <w:rFonts w:eastAsia="Arial" w:cs="Arial" w:ascii="Arial" w:hAnsi="Arial"/>
          <w:sz w:val="20"/>
          <w:szCs w:val="20"/>
        </w:rPr>
        <w:t>con presentazione finale davanti a una giuria internazionale. A IESO 2026 l’ESP si svolge alla Skyway Monte Bianco.</w:t>
      </w:r>
    </w:p>
    <w:p>
      <w:pPr>
        <w:pStyle w:val="Normal"/>
        <w:spacing w:before="0" w:after="80"/>
        <w:rPr/>
      </w:pPr>
      <w:r>
        <w:rPr/>
      </w:r>
    </w:p>
    <w:p>
      <w:pPr>
        <w:pStyle w:val="Normal"/>
        <w:spacing w:before="240" w:after="100"/>
        <w:rPr/>
      </w:pPr>
      <w:r>
        <w:rPr>
          <w:rFonts w:eastAsia="Arial" w:cs="Arial" w:ascii="Arial" w:hAnsi="Arial"/>
          <w:b/>
          <w:bCs/>
          <w:color w:val="1A2744"/>
        </w:rPr>
        <w:t>Valori e missione</w:t>
      </w:r>
    </w:p>
    <w:p>
      <w:pPr>
        <w:pStyle w:val="Normal"/>
        <w:spacing w:before="0" w:after="120"/>
        <w:jc w:val="both"/>
        <w:rPr/>
      </w:pPr>
      <w:r>
        <w:rPr>
          <w:rFonts w:eastAsia="Arial" w:cs="Arial" w:ascii="Arial" w:hAnsi="Arial"/>
          <w:sz w:val="20"/>
          <w:szCs w:val="20"/>
        </w:rPr>
        <w:t>IESO non è solo una competizione: è un’esperienza formativa che unisce rigore scientifico, lavoro di squadra e scoperta del territorio. L’obiettivo è accrescere l’interesse per le scienze della Terra e la consapevolezza della loro importanza per la comprensione e la gestione del pianeta, dalla prevenzione dei rischi naturali al cambiamento climatico.</w:t>
      </w:r>
    </w:p>
    <w:p>
      <w:pPr>
        <w:pStyle w:val="Normal"/>
        <w:spacing w:before="0" w:after="80"/>
        <w:rPr/>
      </w:pPr>
      <w:r>
        <w:rPr/>
      </w:r>
    </w:p>
    <w:p>
      <w:pPr>
        <w:pStyle w:val="Normal"/>
        <w:spacing w:before="0" w:after="80"/>
        <w:rPr/>
      </w:pPr>
      <w:r>
        <w:rPr/>
      </w:r>
    </w:p>
    <w:p>
      <w:pPr>
        <w:pStyle w:val="Normal"/>
        <w:spacing w:before="120" w:after="60"/>
        <w:ind w:start="720" w:end="720"/>
        <w:rPr/>
      </w:pPr>
      <w:r>
        <w:rPr>
          <w:rFonts w:eastAsia="Arial" w:cs="Arial" w:ascii="Arial" w:hAnsi="Arial"/>
          <w:i/>
          <w:iCs/>
          <w:color w:val="1A2744"/>
          <w:sz w:val="20"/>
          <w:szCs w:val="20"/>
        </w:rPr>
        <w:t>«Portare IESO 2026 in Italia significa investire nel futuro delle geoscienze e nella formazione delle nuove generazioni di scienziati. Torino e le Alpi offrono un contesto straordinario per raccontare la Terra a studenti di tutto il mondo.»</w:t>
      </w:r>
    </w:p>
    <w:p>
      <w:pPr>
        <w:pStyle w:val="Normal"/>
        <w:spacing w:before="0" w:after="200"/>
        <w:jc w:val="end"/>
        <w:rPr>
          <w:color w:val="666666"/>
          <w:sz w:val="18"/>
          <w:szCs w:val="18"/>
        </w:rPr>
      </w:pPr>
      <w:r>
        <w:rPr>
          <w:rFonts w:eastAsia="Arial" w:cs="Arial" w:ascii="Arial" w:hAnsi="Arial"/>
          <w:color w:val="666666"/>
          <w:sz w:val="18"/>
          <w:szCs w:val="18"/>
        </w:rPr>
        <w:t>Prof.ssa Susanna Occhipinti — Chair, Comitato Organizzatore IESO 2026</w:t>
      </w:r>
    </w:p>
    <w:p>
      <w:pPr>
        <w:pStyle w:val="Normal"/>
        <w:spacing w:before="0" w:after="200"/>
        <w:jc w:val="end"/>
        <w:rPr/>
      </w:pPr>
      <w:r>
        <w:rPr/>
        <w:drawing>
          <wp:inline distT="0" distB="0" distL="0" distR="0">
            <wp:extent cx="1539875" cy="16192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3"/>
                    <a:stretch>
                      <a:fillRect/>
                    </a:stretch>
                  </pic:blipFill>
                  <pic:spPr bwMode="auto">
                    <a:xfrm>
                      <a:off x="0" y="0"/>
                      <a:ext cx="1539875" cy="1619250"/>
                    </a:xfrm>
                    <a:prstGeom prst="rect">
                      <a:avLst/>
                    </a:prstGeom>
                    <a:noFill/>
                  </pic:spPr>
                </pic:pic>
              </a:graphicData>
            </a:graphic>
          </wp:inline>
        </w:drawing>
      </w:r>
    </w:p>
    <w:p>
      <w:pPr>
        <w:pStyle w:val="Normal"/>
        <w:rPr/>
      </w:pPr>
      <w:r>
        <w:rPr/>
      </w:r>
      <w:r>
        <w:br w:type="page"/>
      </w:r>
    </w:p>
    <w:p>
      <w:pPr>
        <w:pStyle w:val="Normal"/>
        <w:pBdr>
          <w:bottom w:val="single" w:sz="8" w:space="4" w:color="C8A84B"/>
        </w:pBdr>
        <w:spacing w:before="0" w:after="160"/>
        <w:rPr/>
      </w:pPr>
      <w:r>
        <w:rPr>
          <w:rFonts w:eastAsia="Arial" w:cs="Arial" w:ascii="Arial" w:hAnsi="Arial"/>
          <w:b/>
          <w:bCs/>
          <w:color w:val="1A2744"/>
          <w:sz w:val="32"/>
          <w:szCs w:val="32"/>
        </w:rPr>
        <w:t>2.  Una breve storia</w:t>
      </w:r>
    </w:p>
    <w:p>
      <w:pPr>
        <w:pStyle w:val="Normal"/>
        <w:spacing w:before="0" w:after="80"/>
        <w:rPr/>
      </w:pPr>
      <w:r>
        <w:rPr/>
      </w:r>
    </w:p>
    <w:p>
      <w:pPr>
        <w:pStyle w:val="Normal"/>
        <w:spacing w:before="0" w:after="120"/>
        <w:jc w:val="both"/>
        <w:rPr/>
      </w:pPr>
      <w:r>
        <w:rPr>
          <w:rFonts w:eastAsia="Arial" w:cs="Arial" w:ascii="Arial" w:hAnsi="Arial"/>
          <w:sz w:val="20"/>
          <w:szCs w:val="20"/>
        </w:rPr>
        <w:t>L’idea delle Olimpiadi Internazionali di Scienze della Terra nacque in Corea del Sud agli inizi degli anni 2000. Le IESO furono istituite come attività principale di IGEO durante il congresso internazionale di Calgary nel 2003, e lanciate con il supporto dell’International Year of Planet Earth (IYPE) all’IGC32 di Firenze nel 2004. La prima edizione ufficiale si tenne a Daegu, Corea del Sud, nel 2007 con delegazioni da 18 paesi.</w:t>
      </w:r>
    </w:p>
    <w:p>
      <w:pPr>
        <w:pStyle w:val="Normal"/>
        <w:spacing w:before="0" w:after="80"/>
        <w:rPr/>
      </w:pPr>
      <w:r>
        <w:rPr/>
      </w:r>
    </w:p>
    <w:tbl>
      <w:tblPr>
        <w:tblW w:w="9360" w:type="dxa"/>
        <w:jc w:val="start"/>
        <w:tblInd w:w="0" w:type="dxa"/>
        <w:tblLayout w:type="fixed"/>
        <w:tblCellMar>
          <w:top w:w="80" w:type="dxa"/>
          <w:start w:w="120" w:type="dxa"/>
          <w:bottom w:w="80" w:type="dxa"/>
          <w:end w:w="120" w:type="dxa"/>
        </w:tblCellMar>
        <w:tblLook w:firstRow="1" w:noVBand="1" w:lastRow="0" w:firstColumn="1" w:lastColumn="0" w:noHBand="0" w:val="04a0"/>
      </w:tblPr>
      <w:tblGrid>
        <w:gridCol w:w="1500"/>
        <w:gridCol w:w="3500"/>
        <w:gridCol w:w="4360"/>
      </w:tblGrid>
      <w:tr>
        <w:trPr/>
        <w:tc>
          <w:tcPr>
            <w:tcW w:w="1500" w:type="dxa"/>
            <w:tcBorders>
              <w:top w:val="single" w:sz="2" w:space="0" w:color="CCCCCC"/>
              <w:start w:val="single" w:sz="2" w:space="0" w:color="CCCCCC"/>
              <w:bottom w:val="single" w:sz="2" w:space="0" w:color="CCCCCC"/>
              <w:end w:val="single" w:sz="2" w:space="0" w:color="CCCCCC"/>
            </w:tcBorders>
            <w:shd w:color="auto" w:fill="1A2744" w:val="clear"/>
          </w:tcPr>
          <w:p>
            <w:pPr>
              <w:pStyle w:val="Normal"/>
              <w:rPr/>
            </w:pPr>
            <w:r>
              <w:rPr>
                <w:rFonts w:eastAsia="Arial" w:cs="Arial" w:ascii="Arial" w:hAnsi="Arial"/>
                <w:b/>
                <w:bCs/>
                <w:color w:val="FFFFFF"/>
                <w:sz w:val="18"/>
                <w:szCs w:val="18"/>
              </w:rPr>
              <w:t>Anno</w:t>
            </w:r>
          </w:p>
        </w:tc>
        <w:tc>
          <w:tcPr>
            <w:tcW w:w="3500" w:type="dxa"/>
            <w:tcBorders>
              <w:top w:val="single" w:sz="2" w:space="0" w:color="CCCCCC"/>
              <w:start w:val="single" w:sz="2" w:space="0" w:color="CCCCCC"/>
              <w:bottom w:val="single" w:sz="2" w:space="0" w:color="CCCCCC"/>
              <w:end w:val="single" w:sz="2" w:space="0" w:color="CCCCCC"/>
            </w:tcBorders>
            <w:shd w:color="auto" w:fill="1A2744" w:val="clear"/>
          </w:tcPr>
          <w:p>
            <w:pPr>
              <w:pStyle w:val="Normal"/>
              <w:rPr/>
            </w:pPr>
            <w:r>
              <w:rPr>
                <w:rFonts w:eastAsia="Arial" w:cs="Arial" w:ascii="Arial" w:hAnsi="Arial"/>
                <w:b/>
                <w:bCs/>
                <w:color w:val="FFFFFF"/>
                <w:sz w:val="18"/>
                <w:szCs w:val="18"/>
              </w:rPr>
              <w:t>Sede</w:t>
            </w:r>
          </w:p>
        </w:tc>
        <w:tc>
          <w:tcPr>
            <w:tcW w:w="4360" w:type="dxa"/>
            <w:tcBorders>
              <w:top w:val="single" w:sz="2" w:space="0" w:color="CCCCCC"/>
              <w:start w:val="single" w:sz="2" w:space="0" w:color="CCCCCC"/>
              <w:bottom w:val="single" w:sz="2" w:space="0" w:color="CCCCCC"/>
              <w:end w:val="single" w:sz="2" w:space="0" w:color="CCCCCC"/>
            </w:tcBorders>
            <w:shd w:color="auto" w:fill="1A2744" w:val="clear"/>
          </w:tcPr>
          <w:p>
            <w:pPr>
              <w:pStyle w:val="Normal"/>
              <w:rPr/>
            </w:pPr>
            <w:r>
              <w:rPr>
                <w:rFonts w:eastAsia="Arial" w:cs="Arial" w:ascii="Arial" w:hAnsi="Arial"/>
                <w:b/>
                <w:bCs/>
                <w:color w:val="FFFFFF"/>
                <w:sz w:val="18"/>
                <w:szCs w:val="18"/>
              </w:rPr>
              <w:t>Note</w:t>
            </w:r>
          </w:p>
        </w:tc>
      </w:tr>
      <w:tr>
        <w:trPr/>
        <w:tc>
          <w:tcPr>
            <w:tcW w:w="1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2007</w:t>
            </w:r>
          </w:p>
        </w:tc>
        <w:tc>
          <w:tcPr>
            <w:tcW w:w="3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Daegu, Corea del Sud</w:t>
            </w:r>
          </w:p>
        </w:tc>
        <w:tc>
          <w:tcPr>
            <w:tcW w:w="4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1ª ed. — Prima edizione ufficiale, 18 paesi</w:t>
            </w:r>
          </w:p>
        </w:tc>
      </w:tr>
      <w:tr>
        <w:trPr/>
        <w:tc>
          <w:tcPr>
            <w:tcW w:w="1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2008</w:t>
            </w:r>
          </w:p>
        </w:tc>
        <w:tc>
          <w:tcPr>
            <w:tcW w:w="3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Manila, Filippine</w:t>
            </w:r>
          </w:p>
        </w:tc>
        <w:tc>
          <w:tcPr>
            <w:tcW w:w="436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2ª ed.</w:t>
            </w:r>
          </w:p>
        </w:tc>
      </w:tr>
      <w:tr>
        <w:trPr/>
        <w:tc>
          <w:tcPr>
            <w:tcW w:w="1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2009</w:t>
            </w:r>
          </w:p>
        </w:tc>
        <w:tc>
          <w:tcPr>
            <w:tcW w:w="3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Vienna, Austria</w:t>
            </w:r>
          </w:p>
        </w:tc>
        <w:tc>
          <w:tcPr>
            <w:tcW w:w="4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3ª ed.</w:t>
            </w:r>
          </w:p>
        </w:tc>
      </w:tr>
      <w:tr>
        <w:trPr/>
        <w:tc>
          <w:tcPr>
            <w:tcW w:w="1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2010</w:t>
            </w:r>
          </w:p>
        </w:tc>
        <w:tc>
          <w:tcPr>
            <w:tcW w:w="3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Yogyakarta, Indonesia</w:t>
            </w:r>
          </w:p>
        </w:tc>
        <w:tc>
          <w:tcPr>
            <w:tcW w:w="436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4ª ed.</w:t>
            </w:r>
          </w:p>
        </w:tc>
      </w:tr>
      <w:tr>
        <w:trPr/>
        <w:tc>
          <w:tcPr>
            <w:tcW w:w="1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2011</w:t>
            </w:r>
          </w:p>
        </w:tc>
        <w:tc>
          <w:tcPr>
            <w:tcW w:w="3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Modena / Valle d’Aosta, Italia</w:t>
            </w:r>
          </w:p>
        </w:tc>
        <w:tc>
          <w:tcPr>
            <w:tcW w:w="4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5ª ed. — Prima edizione italiana</w:t>
            </w:r>
          </w:p>
        </w:tc>
      </w:tr>
      <w:tr>
        <w:trPr/>
        <w:tc>
          <w:tcPr>
            <w:tcW w:w="1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2012</w:t>
            </w:r>
          </w:p>
        </w:tc>
        <w:tc>
          <w:tcPr>
            <w:tcW w:w="3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Argentina</w:t>
            </w:r>
          </w:p>
        </w:tc>
        <w:tc>
          <w:tcPr>
            <w:tcW w:w="436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lang w:val="en-US"/>
              </w:rPr>
            </w:pPr>
            <w:r>
              <w:rPr>
                <w:rFonts w:eastAsia="Arial" w:cs="Arial" w:ascii="Arial" w:hAnsi="Arial"/>
                <w:sz w:val="18"/>
                <w:szCs w:val="18"/>
                <w:lang w:val="en-US"/>
              </w:rPr>
              <w:t>6ª ed. — Energy, water and minerals for sustainable development</w:t>
            </w:r>
          </w:p>
        </w:tc>
      </w:tr>
      <w:tr>
        <w:trPr/>
        <w:tc>
          <w:tcPr>
            <w:tcW w:w="1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2013</w:t>
            </w:r>
          </w:p>
        </w:tc>
        <w:tc>
          <w:tcPr>
            <w:tcW w:w="3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India</w:t>
            </w:r>
          </w:p>
        </w:tc>
        <w:tc>
          <w:tcPr>
            <w:tcW w:w="4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7ª ed. — (La Terra è una sola famiglia)</w:t>
            </w:r>
          </w:p>
        </w:tc>
      </w:tr>
      <w:tr>
        <w:trPr/>
        <w:tc>
          <w:tcPr>
            <w:tcW w:w="1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2014</w:t>
            </w:r>
          </w:p>
        </w:tc>
        <w:tc>
          <w:tcPr>
            <w:tcW w:w="3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Spagna</w:t>
            </w:r>
          </w:p>
        </w:tc>
        <w:tc>
          <w:tcPr>
            <w:tcW w:w="436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8ª ed.</w:t>
            </w:r>
          </w:p>
        </w:tc>
      </w:tr>
      <w:tr>
        <w:trPr/>
        <w:tc>
          <w:tcPr>
            <w:tcW w:w="1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2015</w:t>
            </w:r>
          </w:p>
        </w:tc>
        <w:tc>
          <w:tcPr>
            <w:tcW w:w="3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Brasile</w:t>
            </w:r>
          </w:p>
        </w:tc>
        <w:tc>
          <w:tcPr>
            <w:tcW w:w="4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9ª ed.</w:t>
            </w:r>
          </w:p>
        </w:tc>
      </w:tr>
      <w:tr>
        <w:trPr/>
        <w:tc>
          <w:tcPr>
            <w:tcW w:w="1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2016</w:t>
            </w:r>
          </w:p>
        </w:tc>
        <w:tc>
          <w:tcPr>
            <w:tcW w:w="3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Giappone</w:t>
            </w:r>
          </w:p>
        </w:tc>
        <w:tc>
          <w:tcPr>
            <w:tcW w:w="436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10ª ed.</w:t>
            </w:r>
          </w:p>
        </w:tc>
      </w:tr>
      <w:tr>
        <w:trPr/>
        <w:tc>
          <w:tcPr>
            <w:tcW w:w="1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2017</w:t>
            </w:r>
          </w:p>
        </w:tc>
        <w:tc>
          <w:tcPr>
            <w:tcW w:w="3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Côte d’Azur, Francia</w:t>
            </w:r>
          </w:p>
        </w:tc>
        <w:tc>
          <w:tcPr>
            <w:tcW w:w="4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11ª ed.</w:t>
            </w:r>
          </w:p>
        </w:tc>
      </w:tr>
      <w:tr>
        <w:trPr/>
        <w:tc>
          <w:tcPr>
            <w:tcW w:w="1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2018</w:t>
            </w:r>
          </w:p>
        </w:tc>
        <w:tc>
          <w:tcPr>
            <w:tcW w:w="3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Thailandia</w:t>
            </w:r>
          </w:p>
        </w:tc>
        <w:tc>
          <w:tcPr>
            <w:tcW w:w="436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12ª ed.</w:t>
            </w:r>
          </w:p>
        </w:tc>
      </w:tr>
      <w:tr>
        <w:trPr/>
        <w:tc>
          <w:tcPr>
            <w:tcW w:w="1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2019</w:t>
            </w:r>
          </w:p>
        </w:tc>
        <w:tc>
          <w:tcPr>
            <w:tcW w:w="3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Repubblica di Corea</w:t>
            </w:r>
          </w:p>
        </w:tc>
        <w:tc>
          <w:tcPr>
            <w:tcW w:w="4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13ª ed.</w:t>
            </w:r>
          </w:p>
        </w:tc>
      </w:tr>
      <w:tr>
        <w:trPr/>
        <w:tc>
          <w:tcPr>
            <w:tcW w:w="1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2020–2021</w:t>
            </w:r>
          </w:p>
        </w:tc>
        <w:tc>
          <w:tcPr>
            <w:tcW w:w="3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w:t>
            </w:r>
          </w:p>
        </w:tc>
        <w:tc>
          <w:tcPr>
            <w:tcW w:w="436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Edizioni sospese (COVID-19)</w:t>
            </w:r>
          </w:p>
        </w:tc>
      </w:tr>
      <w:tr>
        <w:trPr/>
        <w:tc>
          <w:tcPr>
            <w:tcW w:w="1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2022</w:t>
            </w:r>
          </w:p>
        </w:tc>
        <w:tc>
          <w:tcPr>
            <w:tcW w:w="3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Aosta, Italia</w:t>
            </w:r>
          </w:p>
        </w:tc>
        <w:tc>
          <w:tcPr>
            <w:tcW w:w="4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15ª ed. — Prima IESO interamente online</w:t>
            </w:r>
          </w:p>
        </w:tc>
      </w:tr>
      <w:tr>
        <w:trPr/>
        <w:tc>
          <w:tcPr>
            <w:tcW w:w="1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2023</w:t>
            </w:r>
          </w:p>
        </w:tc>
        <w:tc>
          <w:tcPr>
            <w:tcW w:w="3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Online</w:t>
            </w:r>
          </w:p>
        </w:tc>
        <w:tc>
          <w:tcPr>
            <w:tcW w:w="436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16ª ed. — Edizione online straordinaria</w:t>
            </w:r>
          </w:p>
        </w:tc>
      </w:tr>
      <w:tr>
        <w:trPr/>
        <w:tc>
          <w:tcPr>
            <w:tcW w:w="1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2024</w:t>
            </w:r>
          </w:p>
        </w:tc>
        <w:tc>
          <w:tcPr>
            <w:tcW w:w="3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Pechino, Cina</w:t>
            </w:r>
          </w:p>
        </w:tc>
        <w:tc>
          <w:tcPr>
            <w:tcW w:w="4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17ª ed. — Italia: 1 oro, 3 argenti, 4 bronzi</w:t>
            </w:r>
          </w:p>
        </w:tc>
      </w:tr>
      <w:tr>
        <w:trPr/>
        <w:tc>
          <w:tcPr>
            <w:tcW w:w="1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2025</w:t>
            </w:r>
          </w:p>
        </w:tc>
        <w:tc>
          <w:tcPr>
            <w:tcW w:w="35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Jining, Cina</w:t>
            </w:r>
          </w:p>
        </w:tc>
        <w:tc>
          <w:tcPr>
            <w:tcW w:w="436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18ª ed.</w:t>
            </w:r>
          </w:p>
        </w:tc>
      </w:tr>
      <w:tr>
        <w:trPr/>
        <w:tc>
          <w:tcPr>
            <w:tcW w:w="1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2026</w:t>
            </w:r>
          </w:p>
        </w:tc>
        <w:tc>
          <w:tcPr>
            <w:tcW w:w="35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Torino, Italia ★</w:t>
            </w:r>
          </w:p>
        </w:tc>
        <w:tc>
          <w:tcPr>
            <w:tcW w:w="4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19ª ed. — Terza edizione italiana</w:t>
            </w:r>
          </w:p>
        </w:tc>
      </w:tr>
    </w:tbl>
    <w:p>
      <w:pPr>
        <w:pStyle w:val="Normal"/>
        <w:spacing w:before="0" w:after="80"/>
        <w:rPr/>
      </w:pPr>
      <w:r>
        <w:rPr/>
      </w:r>
    </w:p>
    <w:p>
      <w:pPr>
        <w:pStyle w:val="Normal"/>
        <w:spacing w:before="240" w:after="100"/>
        <w:rPr/>
      </w:pPr>
      <w:r>
        <w:rPr>
          <w:rFonts w:eastAsia="Arial" w:cs="Arial" w:ascii="Arial" w:hAnsi="Arial"/>
          <w:b/>
          <w:bCs/>
          <w:color w:val="1A2744"/>
        </w:rPr>
        <w:t>L’Italia alle IESO</w:t>
      </w:r>
    </w:p>
    <w:p>
      <w:pPr>
        <w:pStyle w:val="Normal"/>
        <w:spacing w:before="0" w:after="120"/>
        <w:jc w:val="both"/>
        <w:rPr/>
      </w:pPr>
      <w:r>
        <w:rPr>
          <w:rFonts w:eastAsia="Arial" w:cs="Arial" w:ascii="Arial" w:hAnsi="Arial"/>
          <w:sz w:val="20"/>
          <w:szCs w:val="20"/>
        </w:rPr>
        <w:t>L’Italia partecipa alle IESO dal 2009 attraverso la selezione coordinata da ANISN, con una squadra di quattro studenti selezionati attraverso le Olimpiadi italiane di Scienze della Terra (OST). L’edizione 2024 a Pechino ha fruttato 8 medaglie (1 oro, 3 argenti, 4 bronzi). IESO 2026 a Torino sarà la terza volta che l’Italia ospita l’olimpiade.</w:t>
      </w:r>
    </w:p>
    <w:p>
      <w:pPr>
        <w:pStyle w:val="Normal"/>
        <w:pBdr>
          <w:bottom w:val="single" w:sz="8" w:space="4" w:color="C8A84B"/>
        </w:pBdr>
        <w:spacing w:before="320" w:after="160"/>
        <w:rPr/>
      </w:pPr>
      <w:r>
        <w:rPr>
          <w:rFonts w:eastAsia="Arial" w:cs="Arial" w:ascii="Arial" w:hAnsi="Arial"/>
          <w:b/>
          <w:bCs/>
          <w:color w:val="1A2744"/>
          <w:sz w:val="32"/>
          <w:szCs w:val="32"/>
        </w:rPr>
        <w:t>3.  Il Bicentenario Quintino Sella e la scelta di Torino</w:t>
      </w:r>
    </w:p>
    <w:p>
      <w:pPr>
        <w:pStyle w:val="Normal"/>
        <w:spacing w:before="0" w:after="80"/>
        <w:rPr/>
      </w:pPr>
      <w:r>
        <w:rPr/>
      </w:r>
    </w:p>
    <w:p>
      <w:pPr>
        <w:pStyle w:val="Normal"/>
        <w:spacing w:before="0" w:after="120"/>
        <w:jc w:val="both"/>
        <w:rPr/>
      </w:pPr>
      <w:r>
        <w:rPr>
          <w:rFonts w:eastAsia="Arial" w:cs="Arial" w:ascii="Arial" w:hAnsi="Arial"/>
          <w:sz w:val="20"/>
          <w:szCs w:val="20"/>
        </w:rPr>
        <w:t>IESO 2026 si svolge a Torino in un anno di grande significato per la cultura scientifica italiana: il bicentenario della nascita di Quintino Sella (1827–2027). Geologo, mineralogista, alpinista e statista piemontese, Sella è figura centrale della storia delle scienze della Terra in Italia: fondatore del Club Alpino Italiano (CAI), promotore della ricerca geologica applicata e ministro delle Finanze del giovane Regno d’Italia.</w:t>
      </w:r>
    </w:p>
    <w:p>
      <w:pPr>
        <w:pStyle w:val="Normal"/>
        <w:spacing w:before="0" w:after="120"/>
        <w:jc w:val="both"/>
        <w:rPr/>
      </w:pPr>
      <w:r>
        <w:rPr>
          <w:rFonts w:eastAsia="Arial" w:cs="Arial" w:ascii="Arial" w:hAnsi="Arial"/>
          <w:sz w:val="20"/>
          <w:szCs w:val="20"/>
        </w:rPr>
        <w:t>Ospitare IESO 2026 a Torino significa collocare l’olimpiade internazionale all’interno di un percorso di valorizzazione del patrimonio scientifico alpino e piemontese, in dialogo con le celebrazioni del Bicentenario e con i siti geologici di eccezionale valore: dal Complesso Ivrea-Verbano alla Riserva della Bessa, dalla Sacra di San Michele ai ghiacciai del Monte Bianco.</w:t>
      </w:r>
    </w:p>
    <w:p>
      <w:pPr>
        <w:pStyle w:val="Normal"/>
        <w:pBdr>
          <w:bottom w:val="single" w:sz="8" w:space="4" w:color="C8A84B"/>
        </w:pBdr>
        <w:spacing w:before="320" w:after="160"/>
        <w:rPr/>
      </w:pPr>
      <w:r>
        <w:rPr>
          <w:rFonts w:eastAsia="Arial" w:cs="Arial" w:ascii="Arial" w:hAnsi="Arial"/>
          <w:b/>
          <w:bCs/>
          <w:color w:val="1A2744"/>
          <w:sz w:val="32"/>
          <w:szCs w:val="32"/>
        </w:rPr>
        <w:t>4.  Paesi partecipanti</w:t>
      </w:r>
    </w:p>
    <w:p>
      <w:pPr>
        <w:pStyle w:val="Normal"/>
        <w:spacing w:before="0" w:after="120"/>
        <w:jc w:val="both"/>
        <w:rPr/>
      </w:pPr>
      <w:r>
        <w:rPr>
          <w:rFonts w:eastAsia="Arial" w:cs="Arial" w:ascii="Arial" w:hAnsi="Arial"/>
          <w:sz w:val="20"/>
          <w:szCs w:val="20"/>
        </w:rPr>
        <w:t>Alla data di pubblicazione di questa cartella stampa, 46 nazioni hanno confermato la propria partecipazione a IESO 2026. Ulteriori delegazioni sono in corso di registrazione.</w:t>
      </w:r>
    </w:p>
    <w:p>
      <w:pPr>
        <w:pStyle w:val="Normal"/>
        <w:spacing w:before="0" w:after="80"/>
        <w:rPr/>
      </w:pPr>
      <w:r>
        <w:rPr/>
      </w:r>
    </w:p>
    <w:tbl>
      <w:tblPr>
        <w:tblW w:w="9360" w:type="dxa"/>
        <w:jc w:val="start"/>
        <w:tblInd w:w="0" w:type="dxa"/>
        <w:tblLayout w:type="fixed"/>
        <w:tblCellMar>
          <w:top w:w="80" w:type="dxa"/>
          <w:start w:w="120" w:type="dxa"/>
          <w:bottom w:w="80" w:type="dxa"/>
          <w:end w:w="120" w:type="dxa"/>
        </w:tblCellMar>
        <w:tblLook w:firstRow="1" w:noVBand="1" w:lastRow="0" w:firstColumn="1" w:lastColumn="0" w:noHBand="0" w:val="04a0"/>
      </w:tblPr>
      <w:tblGrid>
        <w:gridCol w:w="2000"/>
        <w:gridCol w:w="7360"/>
      </w:tblGrid>
      <w:tr>
        <w:trPr/>
        <w:tc>
          <w:tcPr>
            <w:tcW w:w="2000" w:type="dxa"/>
            <w:tcBorders>
              <w:top w:val="single" w:sz="2" w:space="0" w:color="CCCCCC"/>
              <w:start w:val="single" w:sz="2" w:space="0" w:color="CCCCCC"/>
              <w:bottom w:val="single" w:sz="2" w:space="0" w:color="CCCCCC"/>
              <w:end w:val="single" w:sz="2" w:space="0" w:color="CCCCCC"/>
            </w:tcBorders>
            <w:shd w:color="auto" w:fill="1A2744" w:val="clear"/>
          </w:tcPr>
          <w:p>
            <w:pPr>
              <w:pStyle w:val="Normal"/>
              <w:rPr/>
            </w:pPr>
            <w:r>
              <w:rPr>
                <w:rFonts w:eastAsia="Arial" w:cs="Arial" w:ascii="Arial" w:hAnsi="Arial"/>
                <w:b/>
                <w:bCs/>
                <w:color w:val="FFFFFF"/>
                <w:sz w:val="18"/>
                <w:szCs w:val="18"/>
              </w:rPr>
              <w:t>Area</w:t>
            </w:r>
          </w:p>
        </w:tc>
        <w:tc>
          <w:tcPr>
            <w:tcW w:w="7360" w:type="dxa"/>
            <w:tcBorders>
              <w:top w:val="single" w:sz="2" w:space="0" w:color="CCCCCC"/>
              <w:start w:val="single" w:sz="2" w:space="0" w:color="CCCCCC"/>
              <w:bottom w:val="single" w:sz="2" w:space="0" w:color="CCCCCC"/>
              <w:end w:val="single" w:sz="2" w:space="0" w:color="CCCCCC"/>
            </w:tcBorders>
            <w:shd w:color="auto" w:fill="1A2744" w:val="clear"/>
          </w:tcPr>
          <w:p>
            <w:pPr>
              <w:pStyle w:val="Normal"/>
              <w:rPr/>
            </w:pPr>
            <w:r>
              <w:rPr>
                <w:rFonts w:eastAsia="Arial" w:cs="Arial" w:ascii="Arial" w:hAnsi="Arial"/>
                <w:b/>
                <w:bCs/>
                <w:color w:val="FFFFFF"/>
                <w:sz w:val="18"/>
                <w:szCs w:val="18"/>
              </w:rPr>
              <w:t>Paesi</w:t>
            </w:r>
          </w:p>
        </w:tc>
      </w:tr>
      <w:tr>
        <w:trPr/>
        <w:tc>
          <w:tcPr>
            <w:tcW w:w="20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Europa (17)</w:t>
            </w:r>
          </w:p>
        </w:tc>
        <w:tc>
          <w:tcPr>
            <w:tcW w:w="7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Austria, Belarus, Czech Republic, Estonia, Finland, France, Germany, Hungary, Italy, Lithuania, North Macedonia, Norway, Poland, Romania, Spain, Sweden, Türkiye</w:t>
            </w:r>
          </w:p>
        </w:tc>
      </w:tr>
      <w:tr>
        <w:trPr/>
        <w:tc>
          <w:tcPr>
            <w:tcW w:w="20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Asia (20)</w:t>
            </w:r>
          </w:p>
        </w:tc>
        <w:tc>
          <w:tcPr>
            <w:tcW w:w="736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lang w:val="en-US"/>
              </w:rPr>
            </w:pPr>
            <w:r>
              <w:rPr>
                <w:rFonts w:eastAsia="Arial" w:cs="Arial" w:ascii="Arial" w:hAnsi="Arial"/>
                <w:sz w:val="18"/>
                <w:szCs w:val="18"/>
                <w:lang w:val="en-US"/>
              </w:rPr>
              <w:t>Bangladesh, China, Chinese Taipei, Hong Kong China, India, Indonesia, Iran, Japan, Kazakhstan, Kuwait, Macao China, Malaysia, Mongolia, Nepal, Pakistan, Philippines, Republic of Korea, Sri Lanka, Thailand, Vietnam</w:t>
            </w:r>
          </w:p>
        </w:tc>
      </w:tr>
      <w:tr>
        <w:trPr/>
        <w:tc>
          <w:tcPr>
            <w:tcW w:w="200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pPr>
            <w:r>
              <w:rPr>
                <w:rFonts w:eastAsia="Arial" w:cs="Arial" w:ascii="Arial" w:hAnsi="Arial"/>
                <w:sz w:val="18"/>
                <w:szCs w:val="18"/>
              </w:rPr>
              <w:t>America (6)</w:t>
            </w:r>
          </w:p>
        </w:tc>
        <w:tc>
          <w:tcPr>
            <w:tcW w:w="7360"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lang w:val="en-US"/>
              </w:rPr>
            </w:pPr>
            <w:r>
              <w:rPr>
                <w:rFonts w:eastAsia="Arial" w:cs="Arial" w:ascii="Arial" w:hAnsi="Arial"/>
                <w:sz w:val="18"/>
                <w:szCs w:val="18"/>
                <w:lang w:val="en-US"/>
              </w:rPr>
              <w:t>Brazil, Canada, Chile, Cuba, Peru, United States of America</w:t>
            </w:r>
          </w:p>
        </w:tc>
      </w:tr>
      <w:tr>
        <w:trPr/>
        <w:tc>
          <w:tcPr>
            <w:tcW w:w="200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Oceania (2)</w:t>
            </w:r>
          </w:p>
        </w:tc>
        <w:tc>
          <w:tcPr>
            <w:tcW w:w="7360"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pPr>
            <w:r>
              <w:rPr>
                <w:rFonts w:eastAsia="Arial" w:cs="Arial" w:ascii="Arial" w:hAnsi="Arial"/>
                <w:sz w:val="18"/>
                <w:szCs w:val="18"/>
              </w:rPr>
              <w:t>Australia, New Zealand</w:t>
            </w:r>
          </w:p>
        </w:tc>
      </w:tr>
    </w:tbl>
    <w:p>
      <w:pPr>
        <w:pStyle w:val="Normal"/>
        <w:jc w:val="end"/>
        <w:rPr/>
      </w:pPr>
      <w:r>
        <w:rPr>
          <w:rFonts w:eastAsia="Arial" w:cs="Arial" w:ascii="Arial" w:hAnsi="Arial"/>
          <w:color w:val="666666"/>
          <w:sz w:val="18"/>
          <w:szCs w:val="18"/>
        </w:rPr>
        <w:t>Elenco aggiornato delle delegazioni: www.ieso2026.org</w:t>
      </w:r>
    </w:p>
    <w:p>
      <w:pPr>
        <w:pStyle w:val="Normal"/>
        <w:rPr/>
      </w:pPr>
      <w:r>
        <w:rPr>
          <w:rFonts w:eastAsia="Arial" w:cs="Arial" w:ascii="Arial" w:hAnsi="Arial"/>
          <w:b/>
          <w:bCs/>
          <w:color w:val="1A2744"/>
          <w:sz w:val="32"/>
          <w:szCs w:val="32"/>
        </w:rPr>
        <w:t>5.  Programma IESO 2026</w:t>
      </w:r>
    </w:p>
    <w:p>
      <w:pPr>
        <w:pStyle w:val="Normal"/>
        <w:spacing w:before="0" w:after="80"/>
        <w:rPr/>
      </w:pPr>
      <w:r>
        <w:rPr/>
      </w:r>
    </w:p>
    <w:tbl>
      <w:tblPr>
        <w:tblW w:w="9497" w:type="dxa"/>
        <w:jc w:val="start"/>
        <w:tblInd w:w="0" w:type="dxa"/>
        <w:tblLayout w:type="fixed"/>
        <w:tblCellMar>
          <w:top w:w="80" w:type="dxa"/>
          <w:start w:w="120" w:type="dxa"/>
          <w:bottom w:w="80" w:type="dxa"/>
          <w:end w:w="120" w:type="dxa"/>
        </w:tblCellMar>
        <w:tblLook w:firstRow="1" w:noVBand="1" w:lastRow="0" w:firstColumn="1" w:lastColumn="0" w:noHBand="0" w:val="04a0"/>
      </w:tblPr>
      <w:tblGrid>
        <w:gridCol w:w="2185"/>
        <w:gridCol w:w="3736"/>
        <w:gridCol w:w="3576"/>
      </w:tblGrid>
      <w:tr>
        <w:trPr/>
        <w:tc>
          <w:tcPr>
            <w:tcW w:w="2185" w:type="dxa"/>
            <w:tcBorders>
              <w:top w:val="single" w:sz="2" w:space="0" w:color="CCCCCC"/>
              <w:start w:val="single" w:sz="2" w:space="0" w:color="CCCCCC"/>
              <w:bottom w:val="single" w:sz="2" w:space="0" w:color="CCCCCC"/>
              <w:end w:val="single" w:sz="2" w:space="0" w:color="CCCCCC"/>
            </w:tcBorders>
            <w:shd w:color="auto" w:fill="1A2744" w:val="clear"/>
          </w:tcPr>
          <w:p>
            <w:pPr>
              <w:pStyle w:val="Normal"/>
              <w:rPr/>
            </w:pPr>
            <w:r>
              <w:rPr>
                <w:rFonts w:eastAsia="Arial" w:cs="Arial" w:ascii="Arial" w:hAnsi="Arial"/>
                <w:b/>
                <w:bCs/>
                <w:color w:val="FFFFFF"/>
                <w:sz w:val="18"/>
                <w:szCs w:val="18"/>
              </w:rPr>
              <w:t>Data</w:t>
            </w:r>
          </w:p>
        </w:tc>
        <w:tc>
          <w:tcPr>
            <w:tcW w:w="3736" w:type="dxa"/>
            <w:tcBorders>
              <w:top w:val="single" w:sz="2" w:space="0" w:color="CCCCCC"/>
              <w:start w:val="single" w:sz="2" w:space="0" w:color="CCCCCC"/>
              <w:bottom w:val="single" w:sz="2" w:space="0" w:color="CCCCCC"/>
              <w:end w:val="single" w:sz="2" w:space="0" w:color="CCCCCC"/>
            </w:tcBorders>
            <w:shd w:color="auto" w:fill="1A2744" w:val="clear"/>
          </w:tcPr>
          <w:p>
            <w:pPr>
              <w:pStyle w:val="Normal"/>
              <w:rPr/>
            </w:pPr>
            <w:r>
              <w:rPr>
                <w:rFonts w:eastAsia="Arial" w:cs="Arial" w:ascii="Arial" w:hAnsi="Arial"/>
                <w:b/>
                <w:bCs/>
                <w:color w:val="FFFFFF"/>
                <w:sz w:val="18"/>
                <w:szCs w:val="18"/>
              </w:rPr>
              <w:t>Attività</w:t>
            </w:r>
          </w:p>
        </w:tc>
        <w:tc>
          <w:tcPr>
            <w:tcW w:w="3576" w:type="dxa"/>
            <w:tcBorders>
              <w:top w:val="single" w:sz="2" w:space="0" w:color="CCCCCC"/>
              <w:start w:val="single" w:sz="2" w:space="0" w:color="CCCCCC"/>
              <w:bottom w:val="single" w:sz="2" w:space="0" w:color="CCCCCC"/>
              <w:end w:val="single" w:sz="2" w:space="0" w:color="CCCCCC"/>
            </w:tcBorders>
            <w:shd w:color="auto" w:fill="1A2744" w:val="clear"/>
            <w:tcMar>
              <w:top w:w="0" w:type="dxa"/>
              <w:start w:w="10" w:type="dxa"/>
              <w:bottom w:w="0" w:type="dxa"/>
              <w:end w:w="10" w:type="dxa"/>
            </w:tcMar>
          </w:tcPr>
          <w:p>
            <w:pPr>
              <w:pStyle w:val="Normal"/>
              <w:rPr>
                <w:b/>
                <w:bCs/>
                <w:color w:val="FFFFFF"/>
                <w:sz w:val="18"/>
                <w:szCs w:val="18"/>
              </w:rPr>
            </w:pPr>
            <w:r>
              <w:rPr>
                <w:b/>
                <w:bCs/>
                <w:color w:val="FFFFFF"/>
                <w:sz w:val="18"/>
                <w:szCs w:val="18"/>
              </w:rPr>
            </w:r>
          </w:p>
        </w:tc>
      </w:tr>
      <w:tr>
        <w:trPr/>
        <w:tc>
          <w:tcPr>
            <w:tcW w:w="2185" w:type="dxa"/>
            <w:tcBorders>
              <w:top w:val="single" w:sz="2" w:space="0" w:color="CCCCCC"/>
              <w:start w:val="single" w:sz="2" w:space="0" w:color="CCCCCC"/>
              <w:bottom w:val="single" w:sz="2" w:space="0" w:color="CCCCCC"/>
              <w:end w:val="single" w:sz="2" w:space="0" w:color="CCCCCC"/>
            </w:tcBorders>
            <w:shd w:color="auto" w:fill="FFFFFF" w:themeFill="background1" w:val="clear"/>
            <w:tcMar>
              <w:top w:w="60" w:type="dxa"/>
              <w:bottom w:w="60" w:type="dxa"/>
            </w:tcMar>
          </w:tcPr>
          <w:p>
            <w:pPr>
              <w:pStyle w:val="Normal"/>
              <w:rPr>
                <w:rFonts w:cs="" w:asciiTheme="majorBidi" w:cstheme="majorBidi" w:hAnsiTheme="majorBidi"/>
                <w:sz w:val="18"/>
                <w:szCs w:val="18"/>
              </w:rPr>
            </w:pPr>
            <w:r>
              <w:rPr>
                <w:rFonts w:cs="" w:asciiTheme="majorBidi" w:cstheme="majorBidi" w:hAnsiTheme="majorBidi"/>
                <w:sz w:val="18"/>
                <w:szCs w:val="18"/>
              </w:rPr>
            </w:r>
          </w:p>
        </w:tc>
        <w:tc>
          <w:tcPr>
            <w:tcW w:w="7312" w:type="dxa"/>
            <w:gridSpan w:val="2"/>
            <w:tcBorders>
              <w:top w:val="single" w:sz="2" w:space="0" w:color="CCCCCC"/>
              <w:start w:val="single" w:sz="2" w:space="0" w:color="CCCCCC"/>
              <w:bottom w:val="single" w:sz="2" w:space="0" w:color="CCCCCC"/>
              <w:end w:val="single" w:sz="2" w:space="0" w:color="CCCCCC"/>
            </w:tcBorders>
            <w:shd w:color="auto" w:fill="FFFFFF" w:themeFill="background1" w:val="clear"/>
            <w:tcMar>
              <w:top w:w="60" w:type="dxa"/>
              <w:bottom w:w="60" w:type="dxa"/>
            </w:tcMar>
          </w:tcPr>
          <w:p>
            <w:pPr>
              <w:pStyle w:val="Normal"/>
              <w:rPr>
                <w:rFonts w:cs="" w:asciiTheme="majorBidi" w:cstheme="majorBidi" w:hAnsiTheme="majorBidi"/>
                <w:sz w:val="18"/>
                <w:szCs w:val="18"/>
              </w:rPr>
            </w:pPr>
            <w:r>
              <w:rPr>
                <w:rFonts w:cs="" w:cstheme="majorBidi"/>
                <w:sz w:val="18"/>
                <w:szCs w:val="18"/>
              </w:rPr>
              <w:t xml:space="preserve">Students                                                           Mentors                                                 </w:t>
            </w:r>
          </w:p>
        </w:tc>
      </w:tr>
      <w:tr>
        <w:trPr/>
        <w:tc>
          <w:tcPr>
            <w:tcW w:w="2185"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rFonts w:cs="" w:asciiTheme="majorBidi" w:cstheme="majorBidi" w:hAnsiTheme="majorBidi"/>
              </w:rPr>
            </w:pPr>
            <w:r>
              <w:rPr>
                <w:rFonts w:eastAsia="Arial" w:cs="" w:cstheme="majorBidi"/>
                <w:sz w:val="18"/>
                <w:szCs w:val="18"/>
              </w:rPr>
              <w:t>Gio 20 agosto</w:t>
            </w:r>
          </w:p>
        </w:tc>
        <w:tc>
          <w:tcPr>
            <w:tcW w:w="7312" w:type="dxa"/>
            <w:gridSpan w:val="2"/>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rFonts w:cs="" w:asciiTheme="majorBidi" w:cstheme="majorBidi" w:hAnsiTheme="majorBidi"/>
                <w:sz w:val="18"/>
                <w:szCs w:val="18"/>
              </w:rPr>
            </w:pPr>
            <w:r>
              <w:rPr>
                <w:rFonts w:eastAsia="Arial" w:cs="" w:cstheme="majorBidi"/>
                <w:sz w:val="18"/>
                <w:szCs w:val="18"/>
              </w:rPr>
              <w:t>Arrivo delegazioni · Ice-breaker serale</w:t>
            </w:r>
          </w:p>
        </w:tc>
      </w:tr>
      <w:tr>
        <w:trPr/>
        <w:tc>
          <w:tcPr>
            <w:tcW w:w="2185"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rFonts w:cs="" w:asciiTheme="majorBidi" w:cstheme="majorBidi" w:hAnsiTheme="majorBidi"/>
              </w:rPr>
            </w:pPr>
            <w:r>
              <w:rPr>
                <w:rFonts w:eastAsia="Arial" w:cs="" w:cstheme="majorBidi"/>
                <w:sz w:val="18"/>
                <w:szCs w:val="18"/>
              </w:rPr>
              <w:t>Ven 21 agosto</w:t>
            </w:r>
          </w:p>
        </w:tc>
        <w:tc>
          <w:tcPr>
            <w:tcW w:w="3736"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rFonts w:cs="" w:asciiTheme="majorBidi" w:cstheme="majorBidi" w:hAnsiTheme="majorBidi"/>
              </w:rPr>
            </w:pPr>
            <w:r>
              <w:rPr>
                <w:rFonts w:eastAsia="Arial" w:cs="" w:cstheme="majorBidi"/>
                <w:sz w:val="18"/>
                <w:szCs w:val="18"/>
              </w:rPr>
              <w:t xml:space="preserve">Cerimonia di apertura ufficiale Visita ESP – Skyway Monte Bianco </w:t>
            </w:r>
          </w:p>
        </w:tc>
        <w:tc>
          <w:tcPr>
            <w:tcW w:w="3576" w:type="dxa"/>
            <w:tcBorders>
              <w:top w:val="single" w:sz="2" w:space="0" w:color="CCCCCC"/>
              <w:start w:val="single" w:sz="2" w:space="0" w:color="CCCCCC"/>
              <w:bottom w:val="single" w:sz="2" w:space="0" w:color="CCCCCC"/>
              <w:end w:val="single" w:sz="2" w:space="0" w:color="CCCCCC"/>
            </w:tcBorders>
            <w:shd w:color="auto" w:fill="FFFFFF" w:val="clear"/>
            <w:tcMar>
              <w:top w:w="0" w:type="dxa"/>
              <w:start w:w="10" w:type="dxa"/>
              <w:bottom w:w="0" w:type="dxa"/>
              <w:end w:w="10" w:type="dxa"/>
            </w:tcMar>
          </w:tcPr>
          <w:p>
            <w:pPr>
              <w:pStyle w:val="Normal"/>
              <w:rPr>
                <w:rFonts w:cs="" w:asciiTheme="majorBidi" w:cstheme="majorBidi" w:hAnsiTheme="majorBidi"/>
                <w:sz w:val="18"/>
                <w:szCs w:val="18"/>
              </w:rPr>
            </w:pPr>
            <w:r>
              <w:rPr>
                <w:rFonts w:eastAsia="Arial" w:cs="" w:cstheme="majorBidi"/>
                <w:sz w:val="18"/>
                <w:szCs w:val="18"/>
              </w:rPr>
              <w:t xml:space="preserve">Cerimonia di apertura ufficiale </w:t>
            </w:r>
          </w:p>
          <w:p>
            <w:pPr>
              <w:pStyle w:val="Normal"/>
              <w:rPr>
                <w:rFonts w:cs="" w:asciiTheme="majorBidi" w:cstheme="majorBidi" w:hAnsiTheme="majorBidi"/>
                <w:sz w:val="18"/>
                <w:szCs w:val="18"/>
              </w:rPr>
            </w:pPr>
            <w:r>
              <w:rPr>
                <w:rFonts w:eastAsia="Arial" w:cs="" w:cstheme="majorBidi"/>
                <w:sz w:val="18"/>
                <w:szCs w:val="18"/>
              </w:rPr>
              <w:t xml:space="preserve">WT Jury Meeting </w:t>
            </w:r>
          </w:p>
        </w:tc>
      </w:tr>
      <w:tr>
        <w:trPr/>
        <w:tc>
          <w:tcPr>
            <w:tcW w:w="2185"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rFonts w:cs="" w:asciiTheme="majorBidi" w:cstheme="majorBidi" w:hAnsiTheme="majorBidi"/>
              </w:rPr>
            </w:pPr>
            <w:r>
              <w:rPr>
                <w:rFonts w:eastAsia="Arial" w:cs="" w:cstheme="majorBidi"/>
                <w:sz w:val="18"/>
                <w:szCs w:val="18"/>
              </w:rPr>
              <w:t>Sab 22 agosto</w:t>
            </w:r>
          </w:p>
        </w:tc>
        <w:tc>
          <w:tcPr>
            <w:tcW w:w="3736"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rFonts w:cs="" w:asciiTheme="majorBidi" w:cstheme="majorBidi" w:hAnsiTheme="majorBidi"/>
                <w:lang w:val="en-US"/>
              </w:rPr>
            </w:pPr>
            <w:r>
              <w:rPr>
                <w:rFonts w:eastAsia="Arial" w:cs="" w:cstheme="majorBidi"/>
                <w:sz w:val="18"/>
                <w:szCs w:val="18"/>
                <w:lang w:val="en-US"/>
              </w:rPr>
              <w:t xml:space="preserve">Field trip ITFI – siti piemontesi </w:t>
            </w:r>
          </w:p>
        </w:tc>
        <w:tc>
          <w:tcPr>
            <w:tcW w:w="3576" w:type="dxa"/>
            <w:tcBorders>
              <w:top w:val="single" w:sz="2" w:space="0" w:color="CCCCCC"/>
              <w:start w:val="single" w:sz="2" w:space="0" w:color="CCCCCC"/>
              <w:bottom w:val="single" w:sz="2" w:space="0" w:color="CCCCCC"/>
              <w:end w:val="single" w:sz="2" w:space="0" w:color="CCCCCC"/>
            </w:tcBorders>
            <w:shd w:color="auto" w:fill="F0F0EA" w:val="clear"/>
            <w:tcMar>
              <w:top w:w="0" w:type="dxa"/>
              <w:start w:w="10" w:type="dxa"/>
              <w:bottom w:w="0" w:type="dxa"/>
              <w:end w:w="10" w:type="dxa"/>
            </w:tcMar>
          </w:tcPr>
          <w:p>
            <w:pPr>
              <w:pStyle w:val="Normal"/>
              <w:rPr>
                <w:rFonts w:cs="" w:asciiTheme="majorBidi" w:cstheme="majorBidi" w:hAnsiTheme="majorBidi"/>
                <w:sz w:val="18"/>
                <w:szCs w:val="18"/>
                <w:lang w:val="en-US"/>
              </w:rPr>
            </w:pPr>
            <w:r>
              <w:rPr>
                <w:rFonts w:eastAsia="Arial" w:cs="" w:cstheme="majorBidi"/>
                <w:sz w:val="18"/>
                <w:szCs w:val="18"/>
                <w:lang w:val="en-US"/>
              </w:rPr>
              <w:t xml:space="preserve">Traduzione Written Test · PT Jury Meeting </w:t>
            </w:r>
          </w:p>
        </w:tc>
      </w:tr>
      <w:tr>
        <w:trPr/>
        <w:tc>
          <w:tcPr>
            <w:tcW w:w="2185"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rFonts w:cs="" w:asciiTheme="majorBidi" w:cstheme="majorBidi" w:hAnsiTheme="majorBidi"/>
              </w:rPr>
            </w:pPr>
            <w:r>
              <w:rPr>
                <w:rFonts w:eastAsia="Arial" w:cs="" w:cstheme="majorBidi"/>
                <w:sz w:val="18"/>
                <w:szCs w:val="18"/>
              </w:rPr>
              <w:t>Dom 23 agosto</w:t>
            </w:r>
          </w:p>
        </w:tc>
        <w:tc>
          <w:tcPr>
            <w:tcW w:w="3736"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rFonts w:cs="" w:asciiTheme="majorBidi" w:cstheme="majorBidi" w:hAnsiTheme="majorBidi"/>
              </w:rPr>
            </w:pPr>
            <w:r>
              <w:rPr>
                <w:rFonts w:eastAsia="Arial" w:cs="" w:cstheme="majorBidi"/>
                <w:sz w:val="18"/>
                <w:szCs w:val="18"/>
              </w:rPr>
              <w:t xml:space="preserve">Preparazione ITFI · </w:t>
            </w:r>
          </w:p>
        </w:tc>
        <w:tc>
          <w:tcPr>
            <w:tcW w:w="3576" w:type="dxa"/>
            <w:tcBorders>
              <w:top w:val="single" w:sz="2" w:space="0" w:color="CCCCCC"/>
              <w:start w:val="single" w:sz="2" w:space="0" w:color="CCCCCC"/>
              <w:bottom w:val="single" w:sz="2" w:space="0" w:color="CCCCCC"/>
              <w:end w:val="single" w:sz="2" w:space="0" w:color="CCCCCC"/>
            </w:tcBorders>
            <w:shd w:color="auto" w:fill="FFFFFF" w:val="clear"/>
            <w:tcMar>
              <w:top w:w="0" w:type="dxa"/>
              <w:start w:w="10" w:type="dxa"/>
              <w:bottom w:w="0" w:type="dxa"/>
              <w:end w:w="10" w:type="dxa"/>
            </w:tcMar>
          </w:tcPr>
          <w:p>
            <w:pPr>
              <w:pStyle w:val="Normal"/>
              <w:rPr>
                <w:rFonts w:cs="" w:asciiTheme="majorBidi" w:cstheme="majorBidi" w:hAnsiTheme="majorBidi"/>
                <w:sz w:val="18"/>
                <w:szCs w:val="18"/>
              </w:rPr>
            </w:pPr>
            <w:r>
              <w:rPr>
                <w:rFonts w:cs="" w:cstheme="majorBidi"/>
                <w:sz w:val="18"/>
                <w:szCs w:val="18"/>
              </w:rPr>
              <w:t xml:space="preserve">Field trip ITFI </w:t>
            </w:r>
            <w:r>
              <w:rPr>
                <w:rFonts w:eastAsia="Arial" w:cs="" w:cstheme="majorBidi"/>
                <w:sz w:val="18"/>
                <w:szCs w:val="18"/>
              </w:rPr>
              <w:t xml:space="preserve">Traduzione PT </w:t>
            </w:r>
          </w:p>
        </w:tc>
      </w:tr>
      <w:tr>
        <w:trPr/>
        <w:tc>
          <w:tcPr>
            <w:tcW w:w="2185"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rFonts w:cs="" w:asciiTheme="majorBidi" w:cstheme="majorBidi" w:hAnsiTheme="majorBidi"/>
              </w:rPr>
            </w:pPr>
            <w:r>
              <w:rPr>
                <w:rFonts w:eastAsia="Arial" w:cs="" w:cstheme="majorBidi"/>
                <w:sz w:val="18"/>
                <w:szCs w:val="18"/>
              </w:rPr>
              <w:t>Lun 24 agosto</w:t>
            </w:r>
          </w:p>
        </w:tc>
        <w:tc>
          <w:tcPr>
            <w:tcW w:w="3736"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rFonts w:cs="" w:asciiTheme="majorBidi" w:cstheme="majorBidi" w:hAnsiTheme="majorBidi"/>
                <w:sz w:val="18"/>
                <w:szCs w:val="18"/>
              </w:rPr>
            </w:pPr>
            <w:r>
              <w:rPr>
                <w:rFonts w:eastAsia="Arial" w:cs="" w:cstheme="majorBidi"/>
                <w:sz w:val="18"/>
                <w:szCs w:val="18"/>
              </w:rPr>
              <w:t xml:space="preserve">Prova Teorica – Written Test </w:t>
            </w:r>
          </w:p>
          <w:p>
            <w:pPr>
              <w:pStyle w:val="Normal"/>
              <w:rPr>
                <w:rFonts w:cs="" w:asciiTheme="majorBidi" w:cstheme="majorBidi" w:hAnsiTheme="majorBidi"/>
              </w:rPr>
            </w:pPr>
            <w:r>
              <w:rPr>
                <w:rFonts w:cs="" w:cstheme="majorBidi"/>
                <w:sz w:val="18"/>
                <w:szCs w:val="18"/>
              </w:rPr>
              <w:t xml:space="preserve">ESP </w:t>
            </w:r>
            <w:r>
              <w:rPr>
                <w:rFonts w:eastAsia="Arial" w:cs="" w:cstheme="majorBidi"/>
                <w:sz w:val="18"/>
                <w:szCs w:val="18"/>
              </w:rPr>
              <w:t>presentation serale</w:t>
            </w:r>
          </w:p>
        </w:tc>
        <w:tc>
          <w:tcPr>
            <w:tcW w:w="3576" w:type="dxa"/>
            <w:tcBorders>
              <w:top w:val="single" w:sz="2" w:space="0" w:color="CCCCCC"/>
              <w:start w:val="single" w:sz="2" w:space="0" w:color="CCCCCC"/>
              <w:bottom w:val="single" w:sz="2" w:space="0" w:color="CCCCCC"/>
              <w:end w:val="single" w:sz="2" w:space="0" w:color="CCCCCC"/>
            </w:tcBorders>
            <w:shd w:color="auto" w:fill="F0F0EA" w:val="clear"/>
            <w:tcMar>
              <w:top w:w="0" w:type="dxa"/>
              <w:start w:w="10" w:type="dxa"/>
              <w:bottom w:w="0" w:type="dxa"/>
              <w:end w:w="10" w:type="dxa"/>
            </w:tcMar>
          </w:tcPr>
          <w:p>
            <w:pPr>
              <w:pStyle w:val="Normal"/>
              <w:rPr>
                <w:rFonts w:cs="" w:asciiTheme="majorBidi" w:cstheme="majorBidi" w:hAnsiTheme="majorBidi"/>
                <w:sz w:val="18"/>
                <w:szCs w:val="18"/>
              </w:rPr>
            </w:pPr>
            <w:r>
              <w:rPr>
                <w:rFonts w:eastAsia="Arial" w:cs="" w:cstheme="majorBidi"/>
                <w:sz w:val="18"/>
                <w:szCs w:val="18"/>
              </w:rPr>
              <w:t xml:space="preserve">Visita ESP Skyway </w:t>
            </w:r>
          </w:p>
          <w:p>
            <w:pPr>
              <w:pStyle w:val="Normal"/>
              <w:rPr>
                <w:rFonts w:cs="" w:asciiTheme="majorBidi" w:cstheme="majorBidi" w:hAnsiTheme="majorBidi"/>
                <w:sz w:val="18"/>
                <w:szCs w:val="18"/>
              </w:rPr>
            </w:pPr>
            <w:r>
              <w:rPr>
                <w:rFonts w:eastAsia="Arial" w:cs="" w:cstheme="majorBidi"/>
                <w:sz w:val="18"/>
                <w:szCs w:val="18"/>
              </w:rPr>
              <w:t>ESP</w:t>
            </w:r>
            <w:r>
              <w:rPr>
                <w:rFonts w:cs="" w:cstheme="majorBidi"/>
                <w:sz w:val="18"/>
                <w:szCs w:val="18"/>
              </w:rPr>
              <w:t xml:space="preserve"> presentation serale</w:t>
            </w:r>
          </w:p>
        </w:tc>
      </w:tr>
      <w:tr>
        <w:trPr/>
        <w:tc>
          <w:tcPr>
            <w:tcW w:w="2185"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rFonts w:cs="" w:asciiTheme="majorBidi" w:cstheme="majorBidi" w:hAnsiTheme="majorBidi"/>
              </w:rPr>
            </w:pPr>
            <w:r>
              <w:rPr>
                <w:rFonts w:eastAsia="Arial" w:cs="" w:cstheme="majorBidi"/>
                <w:sz w:val="18"/>
                <w:szCs w:val="18"/>
              </w:rPr>
              <w:t>Mar 25 agosto</w:t>
            </w:r>
          </w:p>
        </w:tc>
        <w:tc>
          <w:tcPr>
            <w:tcW w:w="3736"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rFonts w:cs="" w:asciiTheme="majorBidi" w:cstheme="majorBidi" w:hAnsiTheme="majorBidi"/>
                <w:lang w:val="en-US"/>
              </w:rPr>
            </w:pPr>
            <w:r>
              <w:rPr>
                <w:rFonts w:eastAsia="Arial" w:cs="" w:cstheme="majorBidi"/>
                <w:sz w:val="18"/>
                <w:szCs w:val="18"/>
                <w:lang w:val="en-US"/>
              </w:rPr>
              <w:t xml:space="preserve">Prova Pratica · Job Fair </w:t>
            </w:r>
          </w:p>
        </w:tc>
        <w:tc>
          <w:tcPr>
            <w:tcW w:w="3576" w:type="dxa"/>
            <w:tcBorders>
              <w:top w:val="single" w:sz="2" w:space="0" w:color="CCCCCC"/>
              <w:start w:val="single" w:sz="2" w:space="0" w:color="CCCCCC"/>
              <w:bottom w:val="single" w:sz="2" w:space="0" w:color="CCCCCC"/>
              <w:end w:val="single" w:sz="2" w:space="0" w:color="CCCCCC"/>
            </w:tcBorders>
            <w:shd w:color="auto" w:fill="FFFFFF" w:val="clear"/>
            <w:tcMar>
              <w:top w:w="0" w:type="dxa"/>
              <w:start w:w="10" w:type="dxa"/>
              <w:bottom w:w="0" w:type="dxa"/>
              <w:end w:w="10" w:type="dxa"/>
            </w:tcMar>
          </w:tcPr>
          <w:p>
            <w:pPr>
              <w:pStyle w:val="Normal"/>
              <w:rPr>
                <w:rFonts w:cs="" w:asciiTheme="majorBidi" w:cstheme="majorBidi" w:hAnsiTheme="majorBidi"/>
                <w:sz w:val="18"/>
                <w:szCs w:val="18"/>
                <w:lang w:val="en-US"/>
              </w:rPr>
            </w:pPr>
            <w:r>
              <w:rPr>
                <w:rFonts w:eastAsia="Arial" w:cs="" w:cstheme="majorBidi"/>
                <w:sz w:val="18"/>
                <w:szCs w:val="18"/>
                <w:lang w:val="en-US"/>
              </w:rPr>
              <w:t>Workshop Education · Jury Meeting Job Fair</w:t>
            </w:r>
          </w:p>
        </w:tc>
      </w:tr>
      <w:tr>
        <w:trPr/>
        <w:tc>
          <w:tcPr>
            <w:tcW w:w="2185" w:type="dxa"/>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rFonts w:cs="" w:asciiTheme="majorBidi" w:cstheme="majorBidi" w:hAnsiTheme="majorBidi"/>
              </w:rPr>
            </w:pPr>
            <w:r>
              <w:rPr>
                <w:rFonts w:eastAsia="Arial" w:cs="" w:cstheme="majorBidi"/>
                <w:sz w:val="18"/>
                <w:szCs w:val="18"/>
              </w:rPr>
              <w:t>Mer 26 agosto</w:t>
            </w:r>
          </w:p>
        </w:tc>
        <w:tc>
          <w:tcPr>
            <w:tcW w:w="7312" w:type="dxa"/>
            <w:gridSpan w:val="2"/>
            <w:tcBorders>
              <w:top w:val="single" w:sz="2" w:space="0" w:color="CCCCCC"/>
              <w:start w:val="single" w:sz="2" w:space="0" w:color="CCCCCC"/>
              <w:bottom w:val="single" w:sz="2" w:space="0" w:color="CCCCCC"/>
              <w:end w:val="single" w:sz="2" w:space="0" w:color="CCCCCC"/>
            </w:tcBorders>
            <w:shd w:color="auto" w:fill="F0F0EA" w:val="clear"/>
            <w:tcMar>
              <w:top w:w="60" w:type="dxa"/>
              <w:bottom w:w="60" w:type="dxa"/>
            </w:tcMar>
          </w:tcPr>
          <w:p>
            <w:pPr>
              <w:pStyle w:val="Normal"/>
              <w:rPr>
                <w:rFonts w:cs="" w:asciiTheme="majorBidi" w:cstheme="majorBidi" w:hAnsiTheme="majorBidi"/>
                <w:sz w:val="18"/>
                <w:szCs w:val="18"/>
                <w:lang w:val="en-US"/>
              </w:rPr>
            </w:pPr>
            <w:r>
              <w:rPr>
                <w:rFonts w:eastAsia="Arial" w:cs="" w:cstheme="majorBidi"/>
                <w:sz w:val="18"/>
                <w:szCs w:val="18"/>
              </w:rPr>
              <w:t>Presentazione ITFI · Visita culturale Torino · Festa di addio</w:t>
            </w:r>
          </w:p>
        </w:tc>
      </w:tr>
      <w:tr>
        <w:trPr/>
        <w:tc>
          <w:tcPr>
            <w:tcW w:w="2185" w:type="dxa"/>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rFonts w:cs="" w:asciiTheme="majorBidi" w:cstheme="majorBidi" w:hAnsiTheme="majorBidi"/>
              </w:rPr>
            </w:pPr>
            <w:r>
              <w:rPr>
                <w:rFonts w:eastAsia="Arial" w:cs="" w:cstheme="majorBidi"/>
                <w:sz w:val="18"/>
                <w:szCs w:val="18"/>
              </w:rPr>
              <w:t>Gio 27 agosto</w:t>
            </w:r>
          </w:p>
        </w:tc>
        <w:tc>
          <w:tcPr>
            <w:tcW w:w="7312" w:type="dxa"/>
            <w:gridSpan w:val="2"/>
            <w:tcBorders>
              <w:top w:val="single" w:sz="2" w:space="0" w:color="CCCCCC"/>
              <w:start w:val="single" w:sz="2" w:space="0" w:color="CCCCCC"/>
              <w:bottom w:val="single" w:sz="2" w:space="0" w:color="CCCCCC"/>
              <w:end w:val="single" w:sz="2" w:space="0" w:color="CCCCCC"/>
            </w:tcBorders>
            <w:shd w:color="auto" w:fill="FFFFFF" w:val="clear"/>
            <w:tcMar>
              <w:top w:w="60" w:type="dxa"/>
              <w:bottom w:w="60" w:type="dxa"/>
            </w:tcMar>
          </w:tcPr>
          <w:p>
            <w:pPr>
              <w:pStyle w:val="Normal"/>
              <w:rPr>
                <w:rFonts w:cs="" w:asciiTheme="majorBidi" w:cstheme="majorBidi" w:hAnsiTheme="majorBidi"/>
                <w:sz w:val="18"/>
                <w:szCs w:val="18"/>
              </w:rPr>
            </w:pPr>
            <w:r>
              <w:rPr>
                <w:rFonts w:eastAsia="Arial" w:cs="" w:cstheme="majorBidi"/>
                <w:sz w:val="18"/>
                <w:szCs w:val="18"/>
              </w:rPr>
              <w:t>Cerimonia di Chiusura e Premiazione · Partenze</w:t>
            </w:r>
          </w:p>
        </w:tc>
      </w:tr>
    </w:tbl>
    <w:p>
      <w:pPr>
        <w:pStyle w:val="Normal"/>
        <w:pBdr>
          <w:bottom w:val="single" w:sz="8" w:space="4" w:color="C8A84B"/>
        </w:pBdr>
        <w:spacing w:before="320" w:after="160"/>
        <w:rPr/>
      </w:pPr>
      <w:r>
        <w:rPr>
          <w:rFonts w:eastAsia="Arial" w:cs="Arial" w:ascii="Arial" w:hAnsi="Arial"/>
          <w:b/>
          <w:bCs/>
          <w:color w:val="1A2744"/>
          <w:sz w:val="32"/>
          <w:szCs w:val="32"/>
        </w:rPr>
        <w:t>6.  Comitato Scientifico e Commissioni Didattica e Organizzativa</w:t>
      </w:r>
    </w:p>
    <w:p>
      <w:pPr>
        <w:pStyle w:val="Normal"/>
        <w:spacing w:before="240" w:after="100"/>
        <w:rPr/>
      </w:pPr>
      <w:r>
        <w:rPr>
          <w:rFonts w:eastAsia="Arial" w:cs="Arial" w:ascii="Arial" w:hAnsi="Arial"/>
          <w:b/>
          <w:bCs/>
          <w:color w:val="1A2744"/>
        </w:rPr>
        <w:t>Comitato Scientifico</w:t>
      </w:r>
    </w:p>
    <w:p>
      <w:pPr>
        <w:pStyle w:val="Normal"/>
        <w:rPr>
          <w:rFonts w:ascii="Arial" w:hAnsi="Arial" w:eastAsia="Arial" w:cs="Arial"/>
          <w:sz w:val="18"/>
          <w:szCs w:val="18"/>
        </w:rPr>
      </w:pPr>
      <w:r>
        <w:rPr>
          <w:rFonts w:eastAsia="Arial" w:cs="Arial" w:ascii="Arial" w:hAnsi="Arial"/>
          <w:sz w:val="18"/>
          <w:szCs w:val="18"/>
        </w:rPr>
        <w:t>Composto, al momento, da 26 membri delle principali istituzioni italiane di ricerca in geoscienze, responsabile della preparazione e validazione di tutte le prove competitive.</w:t>
      </w:r>
    </w:p>
    <w:p>
      <w:pPr>
        <w:pStyle w:val="Normal"/>
        <w:rPr>
          <w:rFonts w:ascii="Arial" w:hAnsi="Arial" w:eastAsia="Arial" w:cs="Arial"/>
          <w:sz w:val="20"/>
          <w:szCs w:val="20"/>
        </w:rPr>
      </w:pPr>
      <w:r>
        <w:rPr>
          <w:rFonts w:eastAsia="Arial" w:cs="Arial" w:ascii="Arial" w:hAnsi="Arial"/>
          <w:sz w:val="18"/>
          <w:szCs w:val="18"/>
        </w:rPr>
        <w:t>Borghi Alessandro - Università degli Studi di Torino; Burrato Pierfrancesco- INGV; Carosi Rodolfo- Università degli Studi di Torino; Casalini Martina – INGV;  Ciaccio Maria Grazia- INGV; Coppola Diego- Università degli Studi di Torino; D'Addezio Giuliana- INGV; De Astis Gianfilippo- INGV;  Di Maggio Maria Rosa- Roma ; Di Nezza Maria- INGV; Erba Elisabetta - Università degli Studi di Milano; Fanti Riccardo -Università di Bologna; Freppaz Michele- Università degli studi di Torino; Fubelli Guido- Università degli Studi di Torino; Giardino Marco- Università degli Studi di Torino; Gianotti Franco- Università degli Studi di Torino; Giuli Gabriele- Università di Camerino; Lozar Francesca- Università degli Studi di Torino; Mazzucchelli Maurizio - Università di Modena e Reggio Emilia; Montomoli Chiara- Università degli Studi di Torino; Petti Fabio Massimo - MUSE – Museo delle Scienze, Trento; Pizzino Luca- INGV; Viccaro Marco- Università di Catania</w:t>
      </w:r>
      <w:r>
        <w:rPr>
          <w:rFonts w:eastAsia="Arial" w:cs="Arial" w:ascii="Arial" w:hAnsi="Arial"/>
          <w:sz w:val="20"/>
          <w:szCs w:val="20"/>
        </w:rPr>
        <w:t xml:space="preserve"> .</w:t>
      </w:r>
    </w:p>
    <w:p>
      <w:pPr>
        <w:pStyle w:val="Normal"/>
        <w:spacing w:before="240" w:after="100"/>
        <w:rPr/>
      </w:pPr>
      <w:r>
        <w:rPr>
          <w:rFonts w:eastAsia="Arial" w:cs="Arial" w:ascii="Arial" w:hAnsi="Arial"/>
          <w:b/>
          <w:bCs/>
          <w:color w:val="1A2744"/>
        </w:rPr>
        <w:t>Commissione Didattica</w:t>
      </w:r>
    </w:p>
    <w:p>
      <w:pPr>
        <w:pStyle w:val="Normal"/>
        <w:rPr>
          <w:rFonts w:ascii="Arial" w:hAnsi="Arial" w:eastAsia="Arial" w:cs="Arial"/>
          <w:sz w:val="18"/>
          <w:szCs w:val="18"/>
        </w:rPr>
      </w:pPr>
      <w:r>
        <w:rPr>
          <w:rFonts w:eastAsia="Arial" w:cs="Arial" w:ascii="Arial" w:hAnsi="Arial"/>
          <w:sz w:val="18"/>
          <w:szCs w:val="18"/>
        </w:rPr>
        <w:t>Emanuele Piccioni (Coordinatore), Vincenzo Boccardi, Susanna Occhipinti, Chiara Montomoli, Francesca Cifelli</w:t>
      </w:r>
    </w:p>
    <w:p>
      <w:pPr>
        <w:pStyle w:val="Normal"/>
        <w:spacing w:before="240" w:after="100"/>
        <w:rPr/>
      </w:pPr>
      <w:r>
        <w:rPr>
          <w:rFonts w:eastAsia="Arial" w:cs="Arial" w:ascii="Arial" w:hAnsi="Arial"/>
          <w:b/>
          <w:bCs/>
          <w:color w:val="1A2744"/>
        </w:rPr>
        <w:t>Comitato Organizzativo</w:t>
      </w:r>
      <w:r>
        <w:rPr/>
        <w:t xml:space="preserve"> </w:t>
      </w:r>
      <w:r>
        <w:rPr>
          <w:rFonts w:eastAsia="Arial" w:cs="Arial" w:ascii="Arial" w:hAnsi="Arial"/>
          <w:sz w:val="18"/>
          <w:szCs w:val="18"/>
        </w:rPr>
        <w:t>Susanna Occhipinti, Marco Giardino, Isabella Marini, Emanuele Piccioni, Silvio Tosetto, Vincenzo Boccardi, Anna Conti, Vanna Serani</w:t>
      </w:r>
      <w:r>
        <w:rPr/>
        <w:t xml:space="preserve"> </w:t>
      </w:r>
      <w:r>
        <w:br w:type="page"/>
      </w:r>
    </w:p>
    <w:p>
      <w:pPr>
        <w:pStyle w:val="Normal"/>
        <w:pBdr>
          <w:bottom w:val="single" w:sz="8" w:space="4" w:color="C8A84B"/>
        </w:pBdr>
        <w:spacing w:before="0" w:after="160"/>
        <w:rPr/>
      </w:pPr>
      <w:r>
        <w:rPr>
          <w:rFonts w:eastAsia="Arial" w:cs="Arial" w:ascii="Arial" w:hAnsi="Arial"/>
          <w:b/>
          <w:bCs/>
          <w:color w:val="1A2744"/>
          <w:sz w:val="32"/>
          <w:szCs w:val="32"/>
        </w:rPr>
        <w:t>7.  Patrocinatori e partner</w:t>
      </w:r>
    </w:p>
    <w:p>
      <w:pPr>
        <w:pStyle w:val="Normal"/>
        <w:spacing w:before="0" w:after="120"/>
        <w:jc w:val="both"/>
        <w:rPr/>
      </w:pPr>
      <w:r>
        <w:rPr>
          <w:rFonts w:eastAsia="Arial" w:cs="Arial" w:ascii="Arial" w:hAnsi="Arial"/>
          <w:sz w:val="20"/>
          <w:szCs w:val="20"/>
        </w:rPr>
        <w:t>Di seguito i patrocinatori e partner che hanno formalmente confermato</w:t>
      </w:r>
      <w:r>
        <w:rPr/>
        <w:t xml:space="preserve">, ad oggi, </w:t>
      </w:r>
      <w:r>
        <w:rPr>
          <w:rFonts w:eastAsia="Arial" w:cs="Arial" w:ascii="Arial" w:hAnsi="Arial"/>
          <w:sz w:val="20"/>
          <w:szCs w:val="20"/>
        </w:rPr>
        <w:t xml:space="preserve"> il proprio sostegno a IESO 2026.</w:t>
      </w:r>
    </w:p>
    <w:p>
      <w:pPr>
        <w:pStyle w:val="Normal"/>
        <w:spacing w:before="200" w:after="80"/>
        <w:rPr/>
      </w:pPr>
      <w:r>
        <w:rPr>
          <w:rFonts w:eastAsia="Arial" w:cs="Arial" w:ascii="Arial" w:hAnsi="Arial"/>
          <w:b/>
          <w:bCs/>
          <w:color w:val="C8A84B"/>
          <w:sz w:val="22"/>
          <w:szCs w:val="22"/>
        </w:rPr>
        <w:t>Istituzioni internazionali</w:t>
      </w:r>
    </w:p>
    <w:p>
      <w:pPr>
        <w:pStyle w:val="ListParagraph"/>
        <w:numPr>
          <w:ilvl w:val="0"/>
          <w:numId w:val="4"/>
        </w:numPr>
        <w:spacing w:before="0" w:after="60"/>
        <w:rPr/>
      </w:pPr>
      <w:r>
        <w:rPr/>
        <w:t>IGEO – International Geoscience Education Organisation</w:t>
      </w:r>
    </w:p>
    <w:p>
      <w:pPr>
        <w:pStyle w:val="ListParagraph"/>
        <w:numPr>
          <w:ilvl w:val="0"/>
          <w:numId w:val="2"/>
        </w:numPr>
        <w:spacing w:before="0" w:after="60"/>
        <w:rPr/>
      </w:pPr>
      <w:r>
        <w:rPr/>
        <w:t>EFG – European Federation of Geologists</w:t>
      </w:r>
    </w:p>
    <w:p>
      <w:pPr>
        <w:pStyle w:val="Normal"/>
        <w:spacing w:before="200" w:after="80"/>
        <w:rPr/>
      </w:pPr>
      <w:r>
        <w:rPr>
          <w:rFonts w:eastAsia="Arial" w:cs="Arial" w:ascii="Arial" w:hAnsi="Arial"/>
          <w:b/>
          <w:bCs/>
          <w:color w:val="C8A84B"/>
          <w:sz w:val="22"/>
          <w:szCs w:val="22"/>
        </w:rPr>
        <w:t>Istituzioni territoriali</w:t>
      </w:r>
    </w:p>
    <w:p>
      <w:pPr>
        <w:pStyle w:val="ListParagraph"/>
        <w:numPr>
          <w:ilvl w:val="0"/>
          <w:numId w:val="2"/>
        </w:numPr>
        <w:spacing w:before="0" w:after="60"/>
        <w:rPr/>
      </w:pPr>
      <w:r>
        <w:rPr/>
        <w:t>Regione Piemonte</w:t>
      </w:r>
    </w:p>
    <w:p>
      <w:pPr>
        <w:pStyle w:val="ListParagraph"/>
        <w:numPr>
          <w:ilvl w:val="0"/>
          <w:numId w:val="2"/>
        </w:numPr>
        <w:spacing w:before="0" w:after="60"/>
        <w:rPr/>
      </w:pPr>
      <w:r>
        <w:rPr/>
        <w:t>CAI – Club Alpino Italiano</w:t>
      </w:r>
    </w:p>
    <w:p>
      <w:pPr>
        <w:pStyle w:val="ListParagraph"/>
        <w:numPr>
          <w:ilvl w:val="0"/>
          <w:numId w:val="2"/>
        </w:numPr>
        <w:spacing w:before="0" w:after="60"/>
        <w:rPr/>
      </w:pPr>
      <w:r>
        <w:rPr/>
        <w:t>Fondazione Sella</w:t>
      </w:r>
    </w:p>
    <w:p>
      <w:pPr>
        <w:pStyle w:val="Normal"/>
        <w:spacing w:before="200" w:after="80"/>
        <w:rPr/>
      </w:pPr>
      <w:r>
        <w:rPr>
          <w:rFonts w:eastAsia="Arial" w:cs="Arial" w:ascii="Arial" w:hAnsi="Arial"/>
          <w:b/>
          <w:bCs/>
          <w:color w:val="C8A84B"/>
          <w:sz w:val="22"/>
          <w:szCs w:val="22"/>
        </w:rPr>
        <w:t>Enti di ricerca nazionali</w:t>
      </w:r>
    </w:p>
    <w:p>
      <w:pPr>
        <w:pStyle w:val="ListParagraph"/>
        <w:numPr>
          <w:ilvl w:val="0"/>
          <w:numId w:val="2"/>
        </w:numPr>
        <w:spacing w:before="0" w:after="60"/>
        <w:rPr/>
      </w:pPr>
      <w:r>
        <w:rPr/>
        <w:t>INGV – Istituto Nazionale di Geofisica e Vulcanologia</w:t>
      </w:r>
    </w:p>
    <w:p>
      <w:pPr>
        <w:pStyle w:val="ListParagraph"/>
        <w:numPr>
          <w:ilvl w:val="0"/>
          <w:numId w:val="2"/>
        </w:numPr>
        <w:spacing w:before="0" w:after="60"/>
        <w:rPr/>
      </w:pPr>
      <w:r>
        <w:rPr/>
        <w:t>OGS – Istituto Nazionale di Oceanografia e Geofisica Sperimentale</w:t>
      </w:r>
    </w:p>
    <w:p>
      <w:pPr>
        <w:pStyle w:val="Normal"/>
        <w:spacing w:before="200" w:after="80"/>
        <w:rPr/>
      </w:pPr>
      <w:r>
        <w:rPr>
          <w:rFonts w:eastAsia="Arial" w:cs="Arial" w:ascii="Arial" w:hAnsi="Arial"/>
          <w:b/>
          <w:bCs/>
          <w:color w:val="C8A84B"/>
          <w:sz w:val="22"/>
          <w:szCs w:val="22"/>
        </w:rPr>
        <w:t>Università</w:t>
      </w:r>
    </w:p>
    <w:p>
      <w:pPr>
        <w:pStyle w:val="ListParagraph"/>
        <w:numPr>
          <w:ilvl w:val="0"/>
          <w:numId w:val="2"/>
        </w:numPr>
        <w:spacing w:before="0" w:after="60"/>
        <w:rPr/>
      </w:pPr>
      <w:r>
        <w:rPr/>
        <w:t>Università degli Studi di Torino</w:t>
      </w:r>
    </w:p>
    <w:p>
      <w:pPr>
        <w:pStyle w:val="ListParagraph"/>
        <w:numPr>
          <w:ilvl w:val="0"/>
          <w:numId w:val="2"/>
        </w:numPr>
        <w:spacing w:before="0" w:after="60"/>
        <w:rPr/>
      </w:pPr>
      <w:r>
        <w:rPr/>
        <w:t>Politecnico di Torino – DIATI</w:t>
      </w:r>
    </w:p>
    <w:p>
      <w:pPr>
        <w:pStyle w:val="ListParagraph"/>
        <w:numPr>
          <w:ilvl w:val="0"/>
          <w:numId w:val="2"/>
        </w:numPr>
        <w:spacing w:before="0" w:after="60"/>
        <w:rPr/>
      </w:pPr>
      <w:r>
        <w:rPr/>
        <w:t>Università Statale di Milano</w:t>
      </w:r>
    </w:p>
    <w:p>
      <w:pPr>
        <w:pStyle w:val="ListParagraph"/>
        <w:numPr>
          <w:ilvl w:val="0"/>
          <w:numId w:val="2"/>
        </w:numPr>
        <w:spacing w:before="0" w:after="60"/>
        <w:rPr/>
      </w:pPr>
      <w:r>
        <w:rPr/>
        <w:t>Università di Napoli Federico II</w:t>
      </w:r>
    </w:p>
    <w:p>
      <w:pPr>
        <w:pStyle w:val="ListParagraph"/>
        <w:numPr>
          <w:ilvl w:val="0"/>
          <w:numId w:val="2"/>
        </w:numPr>
        <w:spacing w:before="0" w:after="60"/>
        <w:rPr/>
      </w:pPr>
      <w:r>
        <w:rPr/>
        <w:t>La Sapienza – Università di Roma</w:t>
      </w:r>
    </w:p>
    <w:p>
      <w:pPr>
        <w:pStyle w:val="ListParagraph"/>
        <w:numPr>
          <w:ilvl w:val="0"/>
          <w:numId w:val="2"/>
        </w:numPr>
        <w:spacing w:before="0" w:after="60"/>
        <w:rPr/>
      </w:pPr>
      <w:r>
        <w:rPr/>
        <w:t>Università di Bologna</w:t>
      </w:r>
    </w:p>
    <w:p>
      <w:pPr>
        <w:pStyle w:val="ListParagraph"/>
        <w:numPr>
          <w:ilvl w:val="0"/>
          <w:numId w:val="2"/>
        </w:numPr>
        <w:spacing w:before="0" w:after="60"/>
        <w:rPr/>
      </w:pPr>
      <w:r>
        <w:rPr/>
        <w:t>Università di Catania</w:t>
      </w:r>
    </w:p>
    <w:p>
      <w:pPr>
        <w:pStyle w:val="ListParagraph"/>
        <w:numPr>
          <w:ilvl w:val="0"/>
          <w:numId w:val="2"/>
        </w:numPr>
        <w:spacing w:before="0" w:after="60"/>
        <w:rPr/>
      </w:pPr>
      <w:r>
        <w:rPr/>
        <w:t>Università di Chieti-Pescara</w:t>
      </w:r>
    </w:p>
    <w:p>
      <w:pPr>
        <w:pStyle w:val="ListParagraph"/>
        <w:numPr>
          <w:ilvl w:val="0"/>
          <w:numId w:val="2"/>
        </w:numPr>
        <w:spacing w:before="0" w:after="60"/>
        <w:rPr/>
      </w:pPr>
      <w:r>
        <w:rPr/>
        <w:t>Università di Firenze</w:t>
      </w:r>
    </w:p>
    <w:p>
      <w:pPr>
        <w:pStyle w:val="ListParagraph"/>
        <w:numPr>
          <w:ilvl w:val="0"/>
          <w:numId w:val="2"/>
        </w:numPr>
        <w:spacing w:before="0" w:after="60"/>
        <w:rPr/>
      </w:pPr>
      <w:r>
        <w:rPr/>
        <w:t>Università di Camerino</w:t>
      </w:r>
    </w:p>
    <w:p>
      <w:pPr>
        <w:pStyle w:val="ListParagraph"/>
        <w:numPr>
          <w:ilvl w:val="0"/>
          <w:numId w:val="2"/>
        </w:numPr>
        <w:spacing w:before="0" w:after="60"/>
        <w:rPr/>
      </w:pPr>
      <w:r>
        <w:rPr/>
        <w:t>Università di Genova</w:t>
      </w:r>
    </w:p>
    <w:p>
      <w:pPr>
        <w:pStyle w:val="ListParagraph"/>
        <w:numPr>
          <w:ilvl w:val="0"/>
          <w:numId w:val="2"/>
        </w:numPr>
        <w:spacing w:before="0" w:after="60"/>
        <w:rPr/>
      </w:pPr>
      <w:r>
        <w:rPr/>
        <w:t>Università di Milano Bicocca</w:t>
      </w:r>
    </w:p>
    <w:p>
      <w:pPr>
        <w:pStyle w:val="ListParagraph"/>
        <w:numPr>
          <w:ilvl w:val="0"/>
          <w:numId w:val="2"/>
        </w:numPr>
        <w:spacing w:before="0" w:after="60"/>
        <w:rPr/>
      </w:pPr>
      <w:r>
        <w:rPr/>
        <w:t>Università di Modena e Reggio Emilia</w:t>
      </w:r>
    </w:p>
    <w:p>
      <w:pPr>
        <w:pStyle w:val="ListParagraph"/>
        <w:numPr>
          <w:ilvl w:val="0"/>
          <w:numId w:val="2"/>
        </w:numPr>
        <w:spacing w:before="0" w:after="60"/>
        <w:rPr/>
      </w:pPr>
      <w:r>
        <w:rPr/>
        <w:t>Università di Basilicata</w:t>
      </w:r>
    </w:p>
    <w:p>
      <w:pPr>
        <w:pStyle w:val="ListParagraph"/>
        <w:numPr>
          <w:ilvl w:val="0"/>
          <w:numId w:val="2"/>
        </w:numPr>
        <w:spacing w:before="0" w:after="60"/>
        <w:rPr/>
      </w:pPr>
      <w:r>
        <w:rPr/>
        <w:t>Università di Cagliari</w:t>
      </w:r>
    </w:p>
    <w:p>
      <w:pPr>
        <w:pStyle w:val="ListParagraph"/>
        <w:numPr>
          <w:ilvl w:val="0"/>
          <w:numId w:val="2"/>
        </w:numPr>
        <w:spacing w:before="0" w:after="60"/>
        <w:rPr/>
      </w:pPr>
      <w:r>
        <w:rPr/>
        <w:t>Università della Calabria</w:t>
      </w:r>
    </w:p>
    <w:p>
      <w:pPr>
        <w:pStyle w:val="ListParagraph"/>
        <w:numPr>
          <w:ilvl w:val="0"/>
          <w:numId w:val="2"/>
        </w:numPr>
        <w:spacing w:before="0" w:after="60"/>
        <w:rPr/>
      </w:pPr>
      <w:r>
        <w:rPr/>
        <w:t>Università di Palermo</w:t>
      </w:r>
    </w:p>
    <w:p>
      <w:pPr>
        <w:pStyle w:val="ListParagraph"/>
        <w:numPr>
          <w:ilvl w:val="0"/>
          <w:numId w:val="2"/>
        </w:numPr>
        <w:spacing w:before="0" w:after="60"/>
        <w:rPr/>
      </w:pPr>
      <w:r>
        <w:rPr/>
        <w:t>Università di Perugia</w:t>
      </w:r>
    </w:p>
    <w:p>
      <w:pPr>
        <w:pStyle w:val="ListParagraph"/>
        <w:numPr>
          <w:ilvl w:val="0"/>
          <w:numId w:val="2"/>
        </w:numPr>
        <w:spacing w:before="0" w:after="60"/>
        <w:rPr/>
      </w:pPr>
      <w:r>
        <w:rPr/>
        <w:t>Università di Pisa</w:t>
      </w:r>
    </w:p>
    <w:p>
      <w:pPr>
        <w:pStyle w:val="Normal"/>
        <w:spacing w:before="200" w:after="80"/>
        <w:rPr/>
      </w:pPr>
      <w:r>
        <w:rPr>
          <w:rFonts w:eastAsia="Arial" w:cs="Arial" w:ascii="Arial" w:hAnsi="Arial"/>
          <w:b/>
          <w:bCs/>
          <w:color w:val="C8A84B"/>
          <w:sz w:val="22"/>
          <w:szCs w:val="22"/>
        </w:rPr>
        <w:t>Società scientifiche e ordini professionali</w:t>
      </w:r>
    </w:p>
    <w:p>
      <w:pPr>
        <w:pStyle w:val="ListParagraph"/>
        <w:numPr>
          <w:ilvl w:val="0"/>
          <w:numId w:val="2"/>
        </w:numPr>
        <w:spacing w:before="0" w:after="60"/>
        <w:rPr/>
      </w:pPr>
      <w:r>
        <w:rPr/>
        <w:t>SGI – Società Geologica Italiana</w:t>
      </w:r>
    </w:p>
    <w:p>
      <w:pPr>
        <w:pStyle w:val="ListParagraph"/>
        <w:numPr>
          <w:ilvl w:val="0"/>
          <w:numId w:val="2"/>
        </w:numPr>
        <w:spacing w:before="0" w:after="60"/>
        <w:rPr/>
      </w:pPr>
      <w:r>
        <w:rPr/>
        <w:t>SIMP – Società Italiana di Mineralogia e Petrologia</w:t>
      </w:r>
    </w:p>
    <w:p>
      <w:pPr>
        <w:pStyle w:val="ListParagraph"/>
        <w:numPr>
          <w:ilvl w:val="0"/>
          <w:numId w:val="2"/>
        </w:numPr>
        <w:spacing w:before="0" w:after="60"/>
        <w:rPr/>
      </w:pPr>
      <w:r>
        <w:rPr/>
        <w:t>AIV – Associazione Italiana di Vulcanologia</w:t>
      </w:r>
    </w:p>
    <w:p>
      <w:pPr>
        <w:pStyle w:val="ListParagraph"/>
        <w:numPr>
          <w:ilvl w:val="0"/>
          <w:numId w:val="2"/>
        </w:numPr>
        <w:spacing w:before="0" w:after="60"/>
        <w:rPr/>
      </w:pPr>
      <w:r>
        <w:rPr/>
        <w:t>Società Paleontologica Italiana</w:t>
      </w:r>
    </w:p>
    <w:p>
      <w:pPr>
        <w:pStyle w:val="ListParagraph"/>
        <w:numPr>
          <w:ilvl w:val="0"/>
          <w:numId w:val="2"/>
        </w:numPr>
        <w:spacing w:before="0" w:after="60"/>
        <w:rPr/>
      </w:pPr>
      <w:r>
        <w:rPr/>
        <w:t>Consiglio Nazionale dei Geologi</w:t>
      </w:r>
    </w:p>
    <w:p>
      <w:pPr>
        <w:pStyle w:val="ListParagraph"/>
        <w:numPr>
          <w:ilvl w:val="0"/>
          <w:numId w:val="2"/>
        </w:numPr>
        <w:spacing w:before="0" w:after="60"/>
        <w:rPr/>
      </w:pPr>
      <w:r>
        <w:rPr/>
        <w:t>Società Geochimica Italiana</w:t>
      </w:r>
    </w:p>
    <w:p>
      <w:pPr>
        <w:pStyle w:val="ListParagraph"/>
        <w:numPr>
          <w:ilvl w:val="0"/>
          <w:numId w:val="2"/>
        </w:numPr>
        <w:spacing w:before="0" w:after="60"/>
        <w:rPr/>
      </w:pPr>
      <w:r>
        <w:rPr/>
        <w:t>Società Italiana di Geologia Forense</w:t>
      </w:r>
    </w:p>
    <w:p>
      <w:pPr>
        <w:pStyle w:val="ListParagraph"/>
        <w:numPr>
          <w:ilvl w:val="0"/>
          <w:numId w:val="2"/>
        </w:numPr>
        <w:spacing w:before="0" w:after="60"/>
        <w:rPr/>
      </w:pPr>
      <w:r>
        <w:rPr/>
        <w:t>Paleoappi</w:t>
      </w:r>
    </w:p>
    <w:p>
      <w:pPr>
        <w:pStyle w:val="Normal"/>
        <w:spacing w:before="200" w:after="80"/>
        <w:rPr/>
      </w:pPr>
      <w:r>
        <w:rPr>
          <w:rFonts w:eastAsia="Arial" w:cs="Arial" w:ascii="Arial" w:hAnsi="Arial"/>
          <w:b/>
          <w:bCs/>
          <w:color w:val="C8A84B"/>
          <w:sz w:val="22"/>
          <w:szCs w:val="22"/>
        </w:rPr>
        <w:t>Scuole secondarie – Formazione Scuola-Lavoro</w:t>
      </w:r>
    </w:p>
    <w:p>
      <w:pPr>
        <w:pStyle w:val="ListParagraph"/>
        <w:numPr>
          <w:ilvl w:val="0"/>
          <w:numId w:val="2"/>
        </w:numPr>
        <w:spacing w:before="0" w:after="60"/>
        <w:rPr/>
      </w:pPr>
      <w:r>
        <w:rPr/>
        <w:t>Liceo Gioberti, Torino</w:t>
      </w:r>
    </w:p>
    <w:p>
      <w:pPr>
        <w:pStyle w:val="ListParagraph"/>
        <w:numPr>
          <w:ilvl w:val="0"/>
          <w:numId w:val="2"/>
        </w:numPr>
        <w:spacing w:before="0" w:after="60"/>
        <w:rPr/>
      </w:pPr>
      <w:r>
        <w:rPr/>
        <w:t>Liceo Giordano Bruno, Torino</w:t>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Arial" w:hAnsi="Arial" w:cs="Arial" w:hint="default"/>
        <w:sz w:val="20"/>
        <w:szCs w:val="20"/>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2">
    <w:lvl w:ilvl="0">
      <w:start w:val="1"/>
      <w:numFmt w:val="bullet"/>
      <w:lvlText w:val="•"/>
      <w:lvlJc w:val="start"/>
      <w:pPr>
        <w:tabs>
          <w:tab w:val="num" w:pos="0"/>
        </w:tabs>
        <w:ind w:start="720" w:hanging="360"/>
      </w:pPr>
      <w:rPr>
        <w:rFonts w:ascii="Arial" w:hAnsi="Arial" w:cs="Arial" w:hint="default"/>
        <w:sz w:val="20"/>
        <w:szCs w:val="20"/>
      </w:rPr>
    </w:lvl>
    <w:lvl w:ilvl="1">
      <w:start w:val="0"/>
      <w:numFmt w:val="decimal"/>
      <w:lvlText w:val=""/>
      <w:lvlJc w:val="start"/>
      <w:pPr>
        <w:tabs>
          <w:tab w:val="num" w:pos="0"/>
        </w:tabs>
        <w:ind w:start="0" w:hanging="0"/>
      </w:pPr>
      <w:rPr/>
    </w:lvl>
    <w:lvl w:ilvl="2">
      <w:start w:val="0"/>
      <w:numFmt w:val="decimal"/>
      <w:lvlText w:val=""/>
      <w:lvlJc w:val="start"/>
      <w:pPr>
        <w:tabs>
          <w:tab w:val="num" w:pos="0"/>
        </w:tabs>
        <w:ind w:start="0" w:hanging="0"/>
      </w:pPr>
      <w:rPr/>
    </w:lvl>
    <w:lvl w:ilvl="3">
      <w:start w:val="0"/>
      <w:numFmt w:val="decimal"/>
      <w:lvlText w:val=""/>
      <w:lvlJc w:val="start"/>
      <w:pPr>
        <w:tabs>
          <w:tab w:val="num" w:pos="0"/>
        </w:tabs>
        <w:ind w:start="0" w:hanging="0"/>
      </w:pPr>
      <w:rPr/>
    </w:lvl>
    <w:lvl w:ilvl="4">
      <w:start w:val="0"/>
      <w:numFmt w:val="decimal"/>
      <w:lvlText w:val=""/>
      <w:lvlJc w:val="start"/>
      <w:pPr>
        <w:tabs>
          <w:tab w:val="num" w:pos="0"/>
        </w:tabs>
        <w:ind w:start="0" w:hanging="0"/>
      </w:pPr>
      <w:rPr/>
    </w:lvl>
    <w:lvl w:ilvl="5">
      <w:start w:val="0"/>
      <w:numFmt w:val="decimal"/>
      <w:lvlText w:val=""/>
      <w:lvlJc w:val="start"/>
      <w:pPr>
        <w:tabs>
          <w:tab w:val="num" w:pos="0"/>
        </w:tabs>
        <w:ind w:start="0" w:hanging="0"/>
      </w:pPr>
      <w:rPr/>
    </w:lvl>
    <w:lvl w:ilvl="6">
      <w:start w:val="0"/>
      <w:numFmt w:val="decimal"/>
      <w:lvlText w:val=""/>
      <w:lvlJc w:val="start"/>
      <w:pPr>
        <w:tabs>
          <w:tab w:val="num" w:pos="0"/>
        </w:tabs>
        <w:ind w:start="0" w:hanging="0"/>
      </w:pPr>
      <w:rPr/>
    </w:lvl>
    <w:lvl w:ilvl="7">
      <w:start w:val="0"/>
      <w:numFmt w:val="decimal"/>
      <w:lvlText w:val=""/>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lang w:val="it-IT"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0228"/>
    <w:pPr>
      <w:widowControl/>
      <w:suppressAutoHyphens w:val="true"/>
      <w:bidi w:val="0"/>
      <w:spacing w:before="0" w:after="0"/>
      <w:jc w:val="start"/>
    </w:pPr>
    <w:rPr>
      <w:rFonts w:ascii="Times New Roman" w:hAnsi="Times New Roman" w:eastAsia="Times New Roman" w:cs="Times New Roman"/>
      <w:color w:val="auto"/>
      <w:kern w:val="0"/>
      <w:sz w:val="24"/>
      <w:szCs w:val="24"/>
      <w:lang w:val="it-IT" w:eastAsia="zh-CN" w:bidi="ar-SA"/>
    </w:rPr>
  </w:style>
  <w:style w:type="paragraph" w:styleId="Heading1">
    <w:name w:val="heading 1"/>
    <w:uiPriority w:val="9"/>
    <w:qFormat/>
    <w:pPr>
      <w:widowControl/>
      <w:suppressAutoHyphens w:val="true"/>
      <w:bidi w:val="0"/>
      <w:spacing w:before="0" w:after="0"/>
      <w:jc w:val="start"/>
      <w:outlineLvl w:val="0"/>
    </w:pPr>
    <w:rPr>
      <w:rFonts w:ascii="Arial" w:hAnsi="Arial" w:eastAsia="Arial" w:cs="Arial"/>
      <w:color w:val="2E74B5"/>
      <w:kern w:val="0"/>
      <w:sz w:val="32"/>
      <w:szCs w:val="32"/>
      <w:lang w:val="it-IT" w:eastAsia="zh-CN" w:bidi="ar-SA"/>
    </w:rPr>
  </w:style>
  <w:style w:type="paragraph" w:styleId="Heading2">
    <w:name w:val="heading 2"/>
    <w:uiPriority w:val="9"/>
    <w:semiHidden/>
    <w:unhideWhenUsed/>
    <w:qFormat/>
    <w:pPr>
      <w:widowControl/>
      <w:suppressAutoHyphens w:val="true"/>
      <w:bidi w:val="0"/>
      <w:spacing w:before="0" w:after="0"/>
      <w:jc w:val="start"/>
      <w:outlineLvl w:val="1"/>
    </w:pPr>
    <w:rPr>
      <w:rFonts w:ascii="Arial" w:hAnsi="Arial" w:eastAsia="Arial" w:cs="Arial"/>
      <w:color w:val="2E74B5"/>
      <w:kern w:val="0"/>
      <w:sz w:val="26"/>
      <w:szCs w:val="26"/>
      <w:lang w:val="it-IT" w:eastAsia="zh-CN" w:bidi="ar-SA"/>
    </w:rPr>
  </w:style>
  <w:style w:type="paragraph" w:styleId="Heading3">
    <w:name w:val="heading 3"/>
    <w:uiPriority w:val="9"/>
    <w:semiHidden/>
    <w:unhideWhenUsed/>
    <w:qFormat/>
    <w:pPr>
      <w:widowControl/>
      <w:suppressAutoHyphens w:val="true"/>
      <w:bidi w:val="0"/>
      <w:spacing w:before="0" w:after="0"/>
      <w:jc w:val="start"/>
      <w:outlineLvl w:val="2"/>
    </w:pPr>
    <w:rPr>
      <w:rFonts w:ascii="Arial" w:hAnsi="Arial" w:eastAsia="Arial" w:cs="Arial"/>
      <w:color w:val="1F4D78"/>
      <w:kern w:val="0"/>
      <w:sz w:val="24"/>
      <w:szCs w:val="24"/>
      <w:lang w:val="it-IT" w:eastAsia="zh-CN" w:bidi="ar-SA"/>
    </w:rPr>
  </w:style>
  <w:style w:type="paragraph" w:styleId="Heading4">
    <w:name w:val="heading 4"/>
    <w:uiPriority w:val="9"/>
    <w:semiHidden/>
    <w:unhideWhenUsed/>
    <w:qFormat/>
    <w:pPr>
      <w:widowControl/>
      <w:suppressAutoHyphens w:val="true"/>
      <w:bidi w:val="0"/>
      <w:spacing w:before="0" w:after="0"/>
      <w:jc w:val="start"/>
      <w:outlineLvl w:val="3"/>
    </w:pPr>
    <w:rPr>
      <w:rFonts w:ascii="Arial" w:hAnsi="Arial" w:eastAsia="Arial" w:cs="Arial"/>
      <w:i/>
      <w:iCs/>
      <w:color w:val="2E74B5"/>
      <w:kern w:val="0"/>
      <w:sz w:val="20"/>
      <w:szCs w:val="20"/>
      <w:lang w:val="it-IT" w:eastAsia="zh-CN" w:bidi="ar-SA"/>
    </w:rPr>
  </w:style>
  <w:style w:type="paragraph" w:styleId="Heading5">
    <w:name w:val="heading 5"/>
    <w:uiPriority w:val="9"/>
    <w:semiHidden/>
    <w:unhideWhenUsed/>
    <w:qFormat/>
    <w:pPr>
      <w:widowControl/>
      <w:suppressAutoHyphens w:val="true"/>
      <w:bidi w:val="0"/>
      <w:spacing w:before="0" w:after="0"/>
      <w:jc w:val="start"/>
      <w:outlineLvl w:val="4"/>
    </w:pPr>
    <w:rPr>
      <w:rFonts w:ascii="Arial" w:hAnsi="Arial" w:eastAsia="Arial" w:cs="Arial"/>
      <w:color w:val="2E74B5"/>
      <w:kern w:val="0"/>
      <w:sz w:val="20"/>
      <w:szCs w:val="20"/>
      <w:lang w:val="it-IT" w:eastAsia="zh-CN" w:bidi="ar-SA"/>
    </w:rPr>
  </w:style>
  <w:style w:type="paragraph" w:styleId="Heading6">
    <w:name w:val="heading 6"/>
    <w:uiPriority w:val="9"/>
    <w:semiHidden/>
    <w:unhideWhenUsed/>
    <w:qFormat/>
    <w:pPr>
      <w:widowControl/>
      <w:suppressAutoHyphens w:val="true"/>
      <w:bidi w:val="0"/>
      <w:spacing w:before="0" w:after="0"/>
      <w:jc w:val="start"/>
      <w:outlineLvl w:val="5"/>
    </w:pPr>
    <w:rPr>
      <w:rFonts w:ascii="Arial" w:hAnsi="Arial" w:eastAsia="Arial" w:cs="Arial"/>
      <w:color w:val="1F4D78"/>
      <w:kern w:val="0"/>
      <w:sz w:val="20"/>
      <w:szCs w:val="20"/>
      <w:lang w:val="it-IT" w:eastAsia="zh-CN"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Pr>
      <w:color w:val="0563C1"/>
      <w:u w:val="single"/>
    </w:rPr>
  </w:style>
  <w:style w:type="character" w:styleId="Caratterinotaapidipaginauser">
    <w:name w:val="Caratteri nota a piè di pagina (user)"/>
    <w:uiPriority w:val="99"/>
    <w:semiHidden/>
    <w:unhideWhenUsed/>
    <w:qFormat/>
    <w:rPr>
      <w:vertAlign w:val="superscrip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TestonotaapidipaginaCarattere" w:customStyle="1">
    <w:name w:val="Testo nota a piè di pagina Carattere"/>
    <w:uiPriority w:val="99"/>
    <w:semiHidden/>
    <w:unhideWhenUsed/>
    <w:qFormat/>
    <w:rPr>
      <w:sz w:val="20"/>
      <w:szCs w:val="20"/>
    </w:rPr>
  </w:style>
  <w:style w:type="character" w:styleId="Caratterinotadichiusurauser">
    <w:name w:val="Caratteri nota di chiusura (user)"/>
    <w:uiPriority w:val="99"/>
    <w:semiHidden/>
    <w:unhideWhenUsed/>
    <w:qFormat/>
    <w:rPr>
      <w:vertAlign w:val="superscrip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character" w:styleId="TestonotadichiusuraCarattere" w:customStyle="1">
    <w:name w:val="Testo nota di chiusura Carattere"/>
    <w:uiPriority w:val="99"/>
    <w:semiHidden/>
    <w:unhideWhenUsed/>
    <w:qFormat/>
    <w:rPr>
      <w:sz w:val="20"/>
      <w:szCs w:val="20"/>
    </w:rPr>
  </w:style>
  <w:style w:type="character" w:styleId="apple-converted-space" w:customStyle="1">
    <w:name w:val="apple-converted-space"/>
    <w:basedOn w:val="DefaultParagraphFont"/>
    <w:qFormat/>
    <w:rsid w:val="00120228"/>
    <w:rPr/>
  </w:style>
  <w:style w:type="character" w:styleId="Emphasis">
    <w:name w:val="Emphasis"/>
    <w:basedOn w:val="DefaultParagraphFont"/>
    <w:uiPriority w:val="20"/>
    <w:qFormat/>
    <w:rsid w:val="00120228"/>
    <w:rPr>
      <w:i/>
      <w:iCs/>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user">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name w:val="Indice (user)"/>
    <w:basedOn w:val="Normal"/>
    <w:qFormat/>
    <w:pPr>
      <w:suppressLineNumbers/>
    </w:pPr>
    <w:rPr>
      <w:rFonts w:cs="Arial"/>
    </w:rPr>
  </w:style>
  <w:style w:type="paragraph" w:styleId="Title">
    <w:name w:val="Title"/>
    <w:uiPriority w:val="10"/>
    <w:qFormat/>
    <w:pPr>
      <w:widowControl/>
      <w:suppressAutoHyphens w:val="true"/>
      <w:bidi w:val="0"/>
      <w:spacing w:before="0" w:after="0"/>
      <w:jc w:val="start"/>
    </w:pPr>
    <w:rPr>
      <w:rFonts w:ascii="Arial" w:hAnsi="Arial" w:eastAsia="Arial" w:cs="Arial"/>
      <w:color w:val="auto"/>
      <w:kern w:val="0"/>
      <w:sz w:val="56"/>
      <w:szCs w:val="56"/>
      <w:lang w:val="it-IT" w:eastAsia="zh-CN" w:bidi="ar-SA"/>
    </w:rPr>
  </w:style>
  <w:style w:type="paragraph" w:styleId="Enfasigrassetto1" w:customStyle="1">
    <w:name w:val="Enfasi (grassetto)1"/>
    <w:qFormat/>
    <w:pPr>
      <w:widowControl/>
      <w:suppressAutoHyphens w:val="true"/>
      <w:bidi w:val="0"/>
      <w:spacing w:before="0" w:after="0"/>
      <w:jc w:val="start"/>
    </w:pPr>
    <w:rPr>
      <w:rFonts w:ascii="Arial" w:hAnsi="Arial" w:eastAsia="Arial" w:cs="Arial"/>
      <w:b/>
      <w:bCs/>
      <w:color w:val="auto"/>
      <w:kern w:val="0"/>
      <w:sz w:val="20"/>
      <w:szCs w:val="20"/>
      <w:lang w:val="it-IT" w:eastAsia="zh-CN" w:bidi="ar-SA"/>
    </w:rPr>
  </w:style>
  <w:style w:type="paragraph" w:styleId="ListParagraph">
    <w:name w:val="List Paragraph"/>
    <w:qFormat/>
    <w:pPr>
      <w:widowControl/>
      <w:suppressAutoHyphens w:val="true"/>
      <w:bidi w:val="0"/>
      <w:spacing w:before="0" w:after="0"/>
      <w:jc w:val="start"/>
    </w:pPr>
    <w:rPr>
      <w:rFonts w:ascii="Arial" w:hAnsi="Arial" w:eastAsia="Arial" w:cs="Arial"/>
      <w:color w:val="auto"/>
      <w:kern w:val="0"/>
      <w:sz w:val="20"/>
      <w:szCs w:val="20"/>
      <w:lang w:val="it-IT" w:eastAsia="zh-CN" w:bidi="ar-SA"/>
    </w:rPr>
  </w:style>
  <w:style w:type="paragraph" w:styleId="FootnoteText">
    <w:name w:val="footnote text"/>
    <w:link w:val="TestonotaapidipaginaCarattere"/>
    <w:uiPriority w:val="99"/>
    <w:semiHidden/>
    <w:unhideWhenUsed/>
    <w:pPr>
      <w:widowControl/>
      <w:suppressAutoHyphens w:val="true"/>
      <w:bidi w:val="0"/>
      <w:spacing w:before="0" w:after="0"/>
      <w:jc w:val="start"/>
    </w:pPr>
    <w:rPr>
      <w:rFonts w:ascii="Arial" w:hAnsi="Arial" w:eastAsia="Arial" w:cs="Arial"/>
      <w:color w:val="auto"/>
      <w:kern w:val="0"/>
      <w:sz w:val="20"/>
      <w:szCs w:val="20"/>
      <w:lang w:val="it-IT" w:eastAsia="zh-CN" w:bidi="ar-SA"/>
    </w:rPr>
  </w:style>
  <w:style w:type="paragraph" w:styleId="EndnoteText">
    <w:name w:val="endnote text"/>
    <w:link w:val="TestonotadichiusuraCarattere"/>
    <w:uiPriority w:val="99"/>
    <w:semiHidden/>
    <w:unhideWhenUsed/>
    <w:pPr>
      <w:widowControl/>
      <w:suppressAutoHyphens w:val="true"/>
      <w:bidi w:val="0"/>
      <w:spacing w:before="0" w:after="0"/>
      <w:jc w:val="start"/>
    </w:pPr>
    <w:rPr>
      <w:rFonts w:ascii="Arial" w:hAnsi="Arial" w:eastAsia="Arial" w:cs="Arial"/>
      <w:color w:val="auto"/>
      <w:kern w:val="0"/>
      <w:sz w:val="20"/>
      <w:szCs w:val="20"/>
      <w:lang w:val="it-IT" w:eastAsia="zh-CN" w:bidi="ar-SA"/>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LibreOffice/25.8.6.2$Windows_X86_64 LibreOffice_project/b4b39682cd9868fa725bc664aff94278d315bd04</Application>
  <AppVersion>15.0000</AppVersion>
  <Pages>4</Pages>
  <Words>1431</Words>
  <Characters>8159</Characters>
  <CharactersWithSpaces>9571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2026-06-09T17:20:00Z</dcterms:created>
  <dc:creator>Un-named</dc:creator>
  <dc:description/>
  <dc:language>it-IT</dc:language>
  <cp:lastModifiedBy>Susanna OCCHIPINTI</cp:lastModifiedBy>
  <dcterms:modified xsi:type="dcterms:W3CDTF">2026-06-09T17:20:00Z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